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bookmarkStart w:id="190" w:name="_GoBack"/>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i w:val="0"/>
          <w:iCs w:val="0"/>
          <w:color w:val="auto"/>
          <w:sz w:val="84"/>
          <w:szCs w:val="84"/>
          <w:highlight w:val="none"/>
        </w:rPr>
        <w:t xml:space="preserve">招 标 文 件</w:t>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32"/>
          <w:szCs w:val="32"/>
          <w:highlight w:val="none"/>
          <w:lang w:eastAsia="zh-CN"/>
        </w:rPr>
      </w:pPr>
      <w:r>
        <w:rPr>
          <w:rFonts w:hint="eastAsia" w:ascii="仿宋" w:hAnsi="仿宋" w:eastAsia="仿宋" w:cs="仿宋"/>
          <w:b/>
          <w:i w:val="0"/>
          <w:iCs w:val="0"/>
          <w:color w:val="auto"/>
          <w:sz w:val="32"/>
          <w:szCs w:val="32"/>
          <w:highlight w:val="none"/>
          <w:lang w:eastAsia="zh-CN"/>
        </w:rPr>
        <w:t xml:space="preserve">项目名称：盐城市大丰区东片区乡镇部分农房改造项目</w:t>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32"/>
          <w:szCs w:val="32"/>
          <w:highlight w:val="none"/>
          <w:lang w:eastAsia="zh-CN"/>
        </w:rPr>
      </w:pPr>
      <w:r>
        <w:rPr>
          <w:rFonts w:hint="eastAsia" w:ascii="仿宋" w:hAnsi="仿宋" w:eastAsia="仿宋" w:cs="仿宋"/>
          <w:b/>
          <w:i w:val="0"/>
          <w:iCs w:val="0"/>
          <w:color w:val="auto"/>
          <w:sz w:val="32"/>
          <w:szCs w:val="32"/>
          <w:highlight w:val="none"/>
          <w:lang w:eastAsia="zh-CN"/>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4"/>
          <w:szCs w:val="24"/>
          <w:highlight w:val="none"/>
          <w:lang w:eastAsia="zh-CN"/>
        </w:rPr>
      </w:pPr>
      <w:r>
        <w:rPr>
          <w:rFonts w:hint="eastAsia" w:ascii="仿宋" w:hAnsi="仿宋" w:eastAsia="仿宋" w:cs="仿宋"/>
          <w:b/>
          <w:i w:val="0"/>
          <w:iCs w:val="0"/>
          <w:color w:val="auto"/>
          <w:sz w:val="32"/>
          <w:szCs w:val="32"/>
          <w:highlight w:val="none"/>
          <w:lang w:eastAsia="zh-CN"/>
        </w:rPr>
        <w:t xml:space="preserve">项目编号：JSZC-320904-JSJY-G2025-0064</w:t>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lang w:eastAsia="zh-CN"/>
        </w:rPr>
      </w:pPr>
      <w:r>
        <w:rPr>
          <w:rFonts w:hint="eastAsia" w:ascii="仿宋" w:hAnsi="仿宋" w:eastAsia="仿宋" w:cs="仿宋"/>
          <w:b/>
          <w:i w:val="0"/>
          <w:iCs w:val="0"/>
          <w:color w:val="auto"/>
          <w:sz w:val="28"/>
          <w:szCs w:val="28"/>
          <w:highlight w:val="none"/>
          <w:lang w:eastAsia="zh-CN"/>
        </w:rPr>
        <w:t xml:space="preserve">盐城市大丰区住房和城乡建设局</w:t>
      </w:r>
      <w:r/>
    </w:p>
    <w:p>
      <w:pPr>
        <w:pStyle w:val="746"/>
        <w:ind w:firstLine="0"/>
        <w:jc w:val="center"/>
        <w:keepLines w:val="0"/>
        <w:keepNext w:val="0"/>
        <w:pageBreakBefore w:val="0"/>
        <w:spacing w:beforeAutospacing="0" w:afterAutospacing="0" w:line="360" w:lineRule="auto"/>
        <w:widowControl w:val="off"/>
        <w:rPr>
          <w:rFonts w:hint="default" w:ascii="仿宋" w:hAnsi="仿宋" w:eastAsia="仿宋" w:cs="仿宋"/>
          <w:b/>
          <w:i w:val="0"/>
          <w:iCs w:val="0"/>
          <w:color w:val="auto"/>
          <w:sz w:val="28"/>
          <w:szCs w:val="28"/>
          <w:highlight w:val="none"/>
          <w:lang w:val="en-US" w:eastAsia="zh-CN"/>
        </w:rPr>
      </w:pPr>
      <w:r>
        <w:rPr>
          <w:rFonts w:hint="eastAsia" w:ascii="仿宋" w:hAnsi="仿宋" w:eastAsia="仿宋" w:cs="仿宋"/>
          <w:b/>
          <w:i w:val="0"/>
          <w:iCs w:val="0"/>
          <w:color w:val="auto"/>
          <w:sz w:val="28"/>
          <w:szCs w:val="28"/>
          <w:highlight w:val="none"/>
          <w:lang w:val="en-US" w:eastAsia="zh-CN"/>
        </w:rPr>
        <w:t xml:space="preserve">江苏建友兴业工程项目管理有限公司</w:t>
      </w:r>
      <w:r/>
    </w:p>
    <w:p>
      <w:pPr>
        <w:pStyle w:val="746"/>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sz w:val="28"/>
          <w:szCs w:val="28"/>
          <w:highlight w:val="none"/>
        </w:rPr>
      </w:pPr>
      <w:r>
        <w:rPr>
          <w:rFonts w:hint="eastAsia" w:ascii="仿宋" w:hAnsi="仿宋" w:eastAsia="仿宋" w:cs="仿宋"/>
          <w:b/>
          <w:i w:val="0"/>
          <w:iCs w:val="0"/>
          <w:color w:val="auto"/>
          <w:sz w:val="28"/>
          <w:szCs w:val="28"/>
          <w:highlight w:val="none"/>
          <w:lang w:val="en-US" w:eastAsia="zh-CN"/>
        </w:rPr>
        <w:t xml:space="preserve">2025</w:t>
      </w:r>
      <w:r>
        <w:rPr>
          <w:rFonts w:hint="eastAsia" w:ascii="仿宋" w:hAnsi="仿宋" w:eastAsia="仿宋" w:cs="仿宋"/>
          <w:b/>
          <w:i w:val="0"/>
          <w:iCs w:val="0"/>
          <w:color w:val="auto"/>
          <w:sz w:val="28"/>
          <w:szCs w:val="28"/>
          <w:highlight w:val="none"/>
        </w:rPr>
        <w:t xml:space="preserve">年</w:t>
      </w:r>
      <w:r>
        <w:rPr>
          <w:rFonts w:hint="eastAsia" w:ascii="仿宋" w:hAnsi="仿宋" w:eastAsia="仿宋" w:cs="仿宋"/>
          <w:b/>
          <w:i w:val="0"/>
          <w:iCs w:val="0"/>
          <w:color w:val="auto"/>
          <w:sz w:val="28"/>
          <w:szCs w:val="28"/>
          <w:highlight w:val="none"/>
          <w:lang w:val="en-US" w:eastAsia="zh-CN"/>
        </w:rPr>
        <w:t xml:space="preserve">12</w:t>
      </w:r>
      <w:r>
        <w:rPr>
          <w:rFonts w:hint="eastAsia" w:ascii="仿宋" w:hAnsi="仿宋" w:eastAsia="仿宋" w:cs="仿宋"/>
          <w:b/>
          <w:i w:val="0"/>
          <w:iCs w:val="0"/>
          <w:color w:val="auto"/>
          <w:sz w:val="28"/>
          <w:szCs w:val="28"/>
          <w:highlight w:val="none"/>
        </w:rPr>
        <w:t xml:space="preserve">月</w:t>
      </w:r>
      <w:r/>
    </w:p>
    <w:p>
      <w:pPr>
        <w:pStyle w:val="746"/>
        <w:spacing w:before="120" w:beforeAutospacing="0" w:after="120" w:afterAutospacing="0" w:line="36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480" w:lineRule="auto"/>
        <w:rPr>
          <w:rFonts w:hint="eastAsia" w:ascii="仿宋" w:hAnsi="仿宋" w:eastAsia="仿宋" w:cs="仿宋"/>
          <w:i w:val="0"/>
          <w:iCs w:val="0"/>
          <w:color w:val="auto"/>
          <w:highlight w:val="none"/>
        </w:rPr>
      </w:pPr>
      <w:r/>
      <w:bookmarkStart w:id="0" w:name="_Toc16938516"/>
      <w:r/>
      <w:bookmarkStart w:id="1" w:name="_Toc120614210"/>
      <w:r/>
      <w:bookmarkStart w:id="2" w:name="_Toc20823272"/>
      <w:r/>
      <w:bookmarkStart w:id="3" w:name="_Toc479757206"/>
      <w:r/>
      <w:bookmarkStart w:id="4" w:name="_Toc513029200"/>
      <w:r/>
      <w:bookmarkStart w:id="5" w:name="_Toc523127445"/>
      <w:r>
        <w:rPr>
          <w:rFonts w:hint="eastAsia" w:ascii="仿宋" w:hAnsi="仿宋" w:eastAsia="仿宋" w:cs="仿宋"/>
          <w:b/>
          <w:i w:val="0"/>
          <w:iCs w:val="0"/>
          <w:color w:val="auto"/>
          <w:sz w:val="44"/>
          <w:szCs w:val="44"/>
          <w:highlight w:val="none"/>
        </w:rPr>
        <w:t xml:space="preserve">总  目  录</w:t>
      </w:r>
      <w:bookmarkEnd w:id="0"/>
      <w:r/>
      <w:bookmarkEnd w:id="1"/>
      <w:r/>
      <w:bookmarkEnd w:id="2"/>
      <w:r/>
      <w:bookmarkEnd w:id="3"/>
      <w:r/>
      <w:bookmarkEnd w:id="4"/>
      <w:r/>
      <w:bookmarkEnd w:id="5"/>
      <w:r/>
      <w:r/>
    </w:p>
    <w:p>
      <w:pPr>
        <w:pStyle w:val="746"/>
        <w:jc w:val="both"/>
        <w:spacing w:beforeAutospacing="0" w:afterAutospacing="0" w:line="48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left="2160" w:hanging="1440"/>
        <w:jc w:val="both"/>
        <w:spacing w:beforeAutospacing="0" w:afterAutospacing="0" w:line="480" w:lineRule="auto"/>
        <w:tabs>
          <w:tab w:val="left" w:pos="1441" w:leader="none"/>
        </w:tabs>
        <w:rPr>
          <w:rFonts w:hint="eastAsia"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val="en-US" w:eastAsia="zh-CN"/>
        </w:rPr>
        <w:t xml:space="preserve">招标公告</w:t>
      </w:r>
      <w:r>
        <w:rPr>
          <w:rFonts w:hint="eastAsia" w:ascii="仿宋" w:hAnsi="仿宋" w:eastAsia="仿宋" w:cs="仿宋"/>
          <w:i w:val="0"/>
          <w:iCs w:val="0"/>
          <w:color w:val="auto"/>
          <w:sz w:val="36"/>
          <w:szCs w:val="36"/>
          <w:highlight w:val="none"/>
        </w:rPr>
        <w:t xml:space="preserve">…………………………………………</w:t>
      </w:r>
      <w:r>
        <w:rPr>
          <w:rFonts w:hint="eastAsia" w:ascii="仿宋" w:hAnsi="仿宋" w:eastAsia="仿宋" w:cs="仿宋"/>
          <w:i w:val="0"/>
          <w:iCs w:val="0"/>
          <w:color w:val="auto"/>
          <w:sz w:val="36"/>
          <w:szCs w:val="36"/>
          <w:highlight w:val="none"/>
          <w:lang w:val="en-US" w:eastAsia="zh-CN"/>
        </w:rPr>
        <w:t xml:space="preserve">03</w:t>
      </w:r>
      <w:r/>
    </w:p>
    <w:p>
      <w:pPr>
        <w:pStyle w:val="746"/>
        <w:ind w:left="2160" w:hanging="1440"/>
        <w:jc w:val="both"/>
        <w:spacing w:beforeAutospacing="0" w:afterAutospacing="0" w:line="480" w:lineRule="auto"/>
        <w:tabs>
          <w:tab w:val="left" w:pos="1441"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sz w:val="36"/>
          <w:szCs w:val="36"/>
          <w:highlight w:val="none"/>
        </w:rPr>
        <w:t xml:space="preserve">投标人须知………………………………………</w:t>
      </w:r>
      <w:r>
        <w:rPr>
          <w:rFonts w:hint="eastAsia" w:ascii="仿宋" w:hAnsi="仿宋" w:eastAsia="仿宋" w:cs="仿宋"/>
          <w:i w:val="0"/>
          <w:iCs w:val="0"/>
          <w:color w:val="auto"/>
          <w:sz w:val="36"/>
          <w:szCs w:val="36"/>
          <w:highlight w:val="none"/>
          <w:lang w:val="en-US" w:eastAsia="zh-CN"/>
        </w:rPr>
        <w:t xml:space="preserve">06</w:t>
      </w:r>
      <w:r>
        <w:rPr>
          <w:rFonts w:hint="eastAsia" w:ascii="仿宋" w:hAnsi="仿宋" w:eastAsia="仿宋" w:cs="仿宋"/>
          <w:i w:val="0"/>
          <w:iCs w:val="0"/>
          <w:color w:val="auto"/>
          <w:sz w:val="36"/>
          <w:szCs w:val="36"/>
          <w:highlight w:val="none"/>
        </w:rPr>
        <w:t xml:space="preserve"> </w:t>
      </w:r>
      <w:r/>
    </w:p>
    <w:p>
      <w:pPr>
        <w:pStyle w:val="746"/>
        <w:ind w:left="2160" w:hanging="1440"/>
        <w:jc w:val="both"/>
        <w:spacing w:beforeAutospacing="0" w:afterAutospacing="0" w:line="480" w:lineRule="auto"/>
        <w:tabs>
          <w:tab w:val="left" w:pos="1441" w:leader="none"/>
        </w:tabs>
        <w:rPr>
          <w:rFonts w:hint="default" w:ascii="仿宋" w:hAnsi="仿宋" w:eastAsia="仿宋" w:cs="仿宋"/>
          <w:i w:val="0"/>
          <w:iCs w:val="0"/>
          <w:color w:val="auto"/>
          <w:highlight w:val="none"/>
          <w:lang w:val="en-US" w:eastAsia="zh-CN"/>
        </w:rPr>
      </w:pPr>
      <w:r>
        <w:rPr>
          <w:rFonts w:hint="eastAsia" w:ascii="仿宋" w:hAnsi="仿宋" w:eastAsia="仿宋" w:cs="仿宋"/>
          <w:i w:val="0"/>
          <w:iCs w:val="0"/>
          <w:color w:val="auto"/>
          <w:sz w:val="36"/>
          <w:szCs w:val="36"/>
          <w:highlight w:val="none"/>
        </w:rPr>
        <w:t xml:space="preserve">合同</w:t>
      </w:r>
      <w:r>
        <w:rPr>
          <w:rFonts w:hint="eastAsia" w:ascii="仿宋" w:hAnsi="仿宋" w:eastAsia="仿宋" w:cs="仿宋"/>
          <w:i w:val="0"/>
          <w:iCs w:val="0"/>
          <w:color w:val="auto"/>
          <w:sz w:val="36"/>
          <w:szCs w:val="36"/>
          <w:highlight w:val="none"/>
          <w:lang w:eastAsia="zh-CN"/>
        </w:rPr>
        <w:t xml:space="preserve">条款</w:t>
      </w:r>
      <w:r>
        <w:rPr>
          <w:rFonts w:hint="eastAsia" w:ascii="仿宋" w:hAnsi="仿宋" w:eastAsia="仿宋" w:cs="仿宋"/>
          <w:i w:val="0"/>
          <w:iCs w:val="0"/>
          <w:color w:val="auto"/>
          <w:sz w:val="36"/>
          <w:szCs w:val="36"/>
          <w:highlight w:val="none"/>
        </w:rPr>
        <w:t xml:space="preserve">…………………………………………</w:t>
      </w:r>
      <w:r>
        <w:rPr>
          <w:rFonts w:hint="eastAsia" w:ascii="仿宋" w:hAnsi="仿宋" w:eastAsia="仿宋" w:cs="仿宋"/>
          <w:i w:val="0"/>
          <w:iCs w:val="0"/>
          <w:color w:val="auto"/>
          <w:sz w:val="36"/>
          <w:szCs w:val="36"/>
          <w:highlight w:val="none"/>
          <w:lang w:val="en-US" w:eastAsia="zh-CN"/>
        </w:rPr>
        <w:t xml:space="preserve">17</w:t>
      </w:r>
      <w:r/>
    </w:p>
    <w:p>
      <w:pPr>
        <w:pStyle w:val="746"/>
        <w:ind w:left="2160" w:hanging="1440"/>
        <w:jc w:val="both"/>
        <w:spacing w:beforeAutospacing="0" w:afterAutospacing="0" w:line="480" w:lineRule="auto"/>
        <w:tabs>
          <w:tab w:val="left" w:pos="1441" w:leader="none"/>
        </w:tabs>
        <w:rPr>
          <w:rFonts w:hint="default" w:ascii="仿宋" w:hAnsi="仿宋" w:eastAsia="仿宋" w:cs="仿宋"/>
          <w:i w:val="0"/>
          <w:iCs w:val="0"/>
          <w:color w:val="auto"/>
          <w:highlight w:val="none"/>
          <w:lang w:val="en-US" w:eastAsia="zh-CN"/>
        </w:rPr>
      </w:pPr>
      <w:r>
        <w:rPr>
          <w:rFonts w:hint="eastAsia" w:ascii="仿宋" w:hAnsi="仿宋" w:eastAsia="仿宋" w:cs="仿宋"/>
          <w:i w:val="0"/>
          <w:iCs w:val="0"/>
          <w:color w:val="auto"/>
          <w:sz w:val="36"/>
          <w:szCs w:val="36"/>
          <w:highlight w:val="none"/>
        </w:rPr>
        <w:t xml:space="preserve">采购需求…………………………………………</w:t>
      </w:r>
      <w:r>
        <w:rPr>
          <w:rFonts w:hint="eastAsia" w:ascii="仿宋" w:hAnsi="仿宋" w:eastAsia="仿宋" w:cs="仿宋"/>
          <w:i w:val="0"/>
          <w:iCs w:val="0"/>
          <w:color w:val="auto"/>
          <w:sz w:val="36"/>
          <w:szCs w:val="36"/>
          <w:highlight w:val="none"/>
          <w:lang w:val="en-US" w:eastAsia="zh-CN"/>
        </w:rPr>
        <w:t xml:space="preserve">27</w:t>
      </w:r>
      <w:r/>
    </w:p>
    <w:p>
      <w:pPr>
        <w:pStyle w:val="746"/>
        <w:ind w:left="2160" w:hanging="1440"/>
        <w:jc w:val="both"/>
        <w:spacing w:beforeAutospacing="0" w:afterAutospacing="0" w:line="480" w:lineRule="auto"/>
        <w:tabs>
          <w:tab w:val="left" w:pos="1441" w:leader="none"/>
        </w:tabs>
        <w:rPr>
          <w:rFonts w:hint="default" w:ascii="仿宋" w:hAnsi="仿宋" w:eastAsia="仿宋" w:cs="仿宋"/>
          <w:i w:val="0"/>
          <w:iCs w:val="0"/>
          <w:color w:val="auto"/>
          <w:highlight w:val="none"/>
          <w:lang w:val="en-US" w:eastAsia="zh-CN"/>
        </w:rPr>
      </w:pPr>
      <w:r>
        <w:rPr>
          <w:rFonts w:hint="eastAsia" w:ascii="仿宋" w:hAnsi="仿宋" w:eastAsia="仿宋" w:cs="仿宋"/>
          <w:i w:val="0"/>
          <w:iCs w:val="0"/>
          <w:color w:val="auto"/>
          <w:sz w:val="36"/>
          <w:szCs w:val="36"/>
          <w:highlight w:val="none"/>
        </w:rPr>
        <w:t xml:space="preserve">评标方法与评标标准……………………………</w:t>
      </w:r>
      <w:r>
        <w:rPr>
          <w:rFonts w:hint="eastAsia" w:ascii="仿宋" w:hAnsi="仿宋" w:eastAsia="仿宋" w:cs="仿宋"/>
          <w:i w:val="0"/>
          <w:iCs w:val="0"/>
          <w:color w:val="auto"/>
          <w:sz w:val="36"/>
          <w:szCs w:val="36"/>
          <w:highlight w:val="none"/>
          <w:lang w:val="en-US" w:eastAsia="zh-CN"/>
        </w:rPr>
        <w:t xml:space="preserve">28</w:t>
      </w:r>
      <w:r/>
    </w:p>
    <w:p>
      <w:pPr>
        <w:pStyle w:val="746"/>
        <w:ind w:left="2160" w:hanging="1440"/>
        <w:jc w:val="both"/>
        <w:spacing w:beforeAutospacing="0" w:afterAutospacing="0" w:line="480" w:lineRule="auto"/>
        <w:tabs>
          <w:tab w:val="left" w:pos="1441" w:leader="none"/>
        </w:tabs>
        <w:rPr>
          <w:rFonts w:hint="default" w:ascii="仿宋" w:hAnsi="仿宋" w:eastAsia="仿宋" w:cs="仿宋"/>
          <w:i w:val="0"/>
          <w:iCs w:val="0"/>
          <w:color w:val="auto"/>
          <w:highlight w:val="none"/>
          <w:lang w:val="en-US" w:eastAsia="zh-CN"/>
        </w:rPr>
      </w:pPr>
      <w:r>
        <w:rPr>
          <w:rFonts w:hint="eastAsia" w:ascii="仿宋" w:hAnsi="仿宋" w:eastAsia="仿宋" w:cs="仿宋"/>
          <w:i w:val="0"/>
          <w:iCs w:val="0"/>
          <w:color w:val="auto"/>
          <w:sz w:val="36"/>
          <w:szCs w:val="36"/>
          <w:highlight w:val="none"/>
        </w:rPr>
        <w:t xml:space="preserve">投标文件格式……………………………………</w:t>
      </w:r>
      <w:r>
        <w:rPr>
          <w:rFonts w:hint="eastAsia" w:ascii="仿宋" w:hAnsi="仿宋" w:eastAsia="仿宋" w:cs="仿宋"/>
          <w:i w:val="0"/>
          <w:iCs w:val="0"/>
          <w:color w:val="auto"/>
          <w:sz w:val="36"/>
          <w:szCs w:val="36"/>
          <w:highlight w:val="none"/>
          <w:lang w:val="en-US" w:eastAsia="zh-CN"/>
        </w:rPr>
        <w:t xml:space="preserve">32</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keepLines w:val="0"/>
        <w:keepNext w:val="0"/>
        <w:pageBreakBefore w:val="0"/>
        <w:spacing w:beforeAutospacing="0" w:afterAutospacing="0"/>
        <w:widowControl w:val="off"/>
        <w:rPr>
          <w:rFonts w:hint="eastAsia" w:ascii="仿宋" w:hAnsi="仿宋" w:eastAsia="仿宋" w:cs="仿宋"/>
          <w:i w:val="0"/>
          <w:iCs w:val="0"/>
          <w:color w:val="auto"/>
          <w:highlight w:val="none"/>
          <w:lang w:val="en-US" w:eastAsia="zh-CN"/>
        </w:rPr>
      </w:pPr>
      <w:r/>
      <w:bookmarkStart w:id="6" w:name="_Toc10306"/>
      <w:r/>
      <w:bookmarkStart w:id="7" w:name="_Toc28359086"/>
      <w:r>
        <w:rPr>
          <w:rFonts w:hint="eastAsia" w:ascii="仿宋" w:hAnsi="仿宋" w:eastAsia="仿宋" w:cs="仿宋"/>
          <w:b/>
          <w:bCs/>
          <w:i w:val="0"/>
          <w:iCs w:val="0"/>
          <w:color w:val="auto"/>
          <w:sz w:val="44"/>
          <w:szCs w:val="44"/>
          <w:highlight w:val="none"/>
        </w:rPr>
        <w:t xml:space="preserve">第一章 </w:t>
      </w:r>
      <w:r>
        <w:rPr>
          <w:rFonts w:hint="eastAsia" w:ascii="仿宋" w:hAnsi="仿宋" w:eastAsia="仿宋" w:cs="仿宋"/>
          <w:b/>
          <w:bCs/>
          <w:i w:val="0"/>
          <w:iCs w:val="0"/>
          <w:color w:val="auto"/>
          <w:sz w:val="44"/>
          <w:szCs w:val="44"/>
          <w:highlight w:val="none"/>
          <w:lang w:val="en-US" w:eastAsia="zh-CN"/>
        </w:rPr>
        <w:t xml:space="preserve">招标公告</w:t>
      </w:r>
      <w:bookmarkEnd w:id="6"/>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i w:val="0"/>
          <w:iCs w:val="0"/>
          <w:color w:val="auto"/>
          <w:sz w:val="21"/>
          <w:szCs w:val="21"/>
          <w:highlight w:val="none"/>
        </w:rPr>
        <w:t xml:space="preserve">项目概况</w:t>
      </w:r>
      <w:r/>
    </w:p>
    <w:p>
      <w:pPr>
        <w:pStyle w:val="746"/>
        <w:ind w:firstLine="420"/>
        <w:jc w:val="left"/>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i w:val="0"/>
          <w:iCs w:val="0"/>
          <w:color w:val="auto"/>
          <w:sz w:val="21"/>
          <w:szCs w:val="21"/>
          <w:highlight w:val="none"/>
          <w:u w:val="none"/>
          <w:lang w:eastAsia="zh-CN"/>
        </w:rPr>
        <w:t xml:space="preserve">盐城市大丰区东片区乡镇部分农房改造项目</w:t>
      </w:r>
      <w:r>
        <w:rPr>
          <w:rFonts w:hint="eastAsia" w:ascii="仿宋" w:hAnsi="仿宋" w:eastAsia="仿宋" w:cs="仿宋"/>
          <w:i w:val="0"/>
          <w:iCs w:val="0"/>
          <w:color w:val="auto"/>
          <w:sz w:val="21"/>
          <w:szCs w:val="21"/>
          <w:highlight w:val="none"/>
          <w:u w:val="single"/>
          <w:lang w:val="en-US" w:eastAsia="zh-CN"/>
        </w:rPr>
        <w:t xml:space="preserve">JSZC-320904-JSJY-G2025-0064</w:t>
      </w:r>
      <w:r>
        <w:rPr>
          <w:rFonts w:hint="eastAsia" w:ascii="仿宋" w:hAnsi="仿宋" w:eastAsia="仿宋" w:cs="仿宋"/>
          <w:i w:val="0"/>
          <w:iCs w:val="0"/>
          <w:color w:val="auto"/>
          <w:sz w:val="21"/>
          <w:szCs w:val="21"/>
          <w:highlight w:val="none"/>
          <w:u w:val="none"/>
        </w:rPr>
        <w:t xml:space="preserve">招标项目的潜在投标人应在“苏采云”系统内免费下载（投标人必须在苏采云系统中获取采购文件，方能参与政府采购项目）获取</w:t>
      </w:r>
      <w:r>
        <w:rPr>
          <w:rFonts w:hint="eastAsia" w:ascii="仿宋" w:hAnsi="仿宋" w:eastAsia="仿宋" w:cs="仿宋"/>
          <w:i w:val="0"/>
          <w:iCs w:val="0"/>
          <w:color w:val="auto"/>
          <w:sz w:val="21"/>
          <w:szCs w:val="21"/>
          <w:highlight w:val="none"/>
          <w:u w:val="none"/>
          <w:lang w:val="en-US" w:eastAsia="zh-CN"/>
        </w:rPr>
        <w:t xml:space="preserve">招标</w:t>
      </w:r>
      <w:r>
        <w:rPr>
          <w:rFonts w:hint="eastAsia" w:ascii="仿宋" w:hAnsi="仿宋" w:eastAsia="仿宋" w:cs="仿宋"/>
          <w:i w:val="0"/>
          <w:iCs w:val="0"/>
          <w:color w:val="auto"/>
          <w:sz w:val="21"/>
          <w:szCs w:val="21"/>
          <w:highlight w:val="none"/>
          <w:u w:val="none"/>
        </w:rPr>
        <w:t xml:space="preserve">文件 ，并于</w:t>
      </w:r>
      <w:r>
        <w:rPr>
          <w:rFonts w:hint="eastAsia" w:ascii="仿宋" w:hAnsi="仿宋" w:eastAsia="仿宋" w:cs="仿宋"/>
          <w:i w:val="0"/>
          <w:iCs w:val="0"/>
          <w:color w:val="auto"/>
          <w:sz w:val="21"/>
          <w:szCs w:val="21"/>
          <w:highlight w:val="none"/>
          <w:u w:val="single"/>
          <w:lang w:eastAsia="zh-CN"/>
        </w:rPr>
        <w:t xml:space="preserve">2025</w:t>
      </w:r>
      <w:r>
        <w:rPr>
          <w:rFonts w:hint="eastAsia" w:ascii="仿宋" w:hAnsi="仿宋" w:eastAsia="仿宋" w:cs="仿宋"/>
          <w:i w:val="0"/>
          <w:iCs w:val="0"/>
          <w:color w:val="auto"/>
          <w:sz w:val="21"/>
          <w:szCs w:val="21"/>
          <w:highlight w:val="none"/>
          <w:u w:val="none"/>
          <w:lang w:eastAsia="zh-CN"/>
        </w:rPr>
        <w:t xml:space="preserve">年</w:t>
      </w:r>
      <w:r>
        <w:rPr>
          <w:rFonts w:hint="eastAsia" w:ascii="仿宋" w:hAnsi="仿宋" w:eastAsia="仿宋" w:cs="仿宋"/>
          <w:i w:val="0"/>
          <w:iCs w:val="0"/>
          <w:color w:val="auto"/>
          <w:sz w:val="21"/>
          <w:szCs w:val="21"/>
          <w:highlight w:val="none"/>
          <w:u w:val="single"/>
          <w:lang w:val="en-US" w:eastAsia="zh-CN"/>
        </w:rPr>
        <w:t xml:space="preserve">12</w:t>
      </w:r>
      <w:r>
        <w:rPr>
          <w:rFonts w:hint="eastAsia" w:ascii="仿宋" w:hAnsi="仿宋" w:eastAsia="仿宋" w:cs="仿宋"/>
          <w:i w:val="0"/>
          <w:iCs w:val="0"/>
          <w:color w:val="auto"/>
          <w:sz w:val="21"/>
          <w:szCs w:val="21"/>
          <w:highlight w:val="none"/>
          <w:u w:val="none"/>
          <w:lang w:val="en-US" w:eastAsia="zh-CN"/>
        </w:rPr>
        <w:t xml:space="preserve">月</w:t>
      </w:r>
      <w:r>
        <w:rPr>
          <w:rFonts w:hint="eastAsia" w:ascii="仿宋" w:hAnsi="仿宋" w:eastAsia="仿宋" w:cs="仿宋"/>
          <w:i w:val="0"/>
          <w:iCs w:val="0"/>
          <w:color w:val="auto"/>
          <w:sz w:val="21"/>
          <w:szCs w:val="21"/>
          <w:highlight w:val="none"/>
          <w:u w:val="single"/>
          <w:lang w:val="en-US" w:eastAsia="zh-CN"/>
        </w:rPr>
        <w:t xml:space="preserve">25</w:t>
      </w:r>
      <w:r>
        <w:rPr>
          <w:rFonts w:hint="eastAsia" w:ascii="仿宋" w:hAnsi="仿宋" w:eastAsia="仿宋" w:cs="仿宋"/>
          <w:i w:val="0"/>
          <w:iCs w:val="0"/>
          <w:color w:val="auto"/>
          <w:sz w:val="21"/>
          <w:szCs w:val="21"/>
          <w:highlight w:val="none"/>
          <w:u w:val="none"/>
          <w:lang w:val="en-US" w:eastAsia="zh-CN"/>
        </w:rPr>
        <w:t xml:space="preserve">日</w:t>
      </w:r>
      <w:r>
        <w:rPr>
          <w:rFonts w:hint="eastAsia" w:ascii="仿宋" w:hAnsi="仿宋" w:eastAsia="仿宋" w:cs="仿宋"/>
          <w:i w:val="0"/>
          <w:iCs w:val="0"/>
          <w:color w:val="auto"/>
          <w:sz w:val="21"/>
          <w:szCs w:val="21"/>
          <w:highlight w:val="none"/>
          <w:u w:val="single"/>
          <w:lang w:val="en-US" w:eastAsia="zh-CN"/>
        </w:rPr>
        <w:t xml:space="preserve">10</w:t>
      </w:r>
      <w:r>
        <w:rPr>
          <w:rFonts w:hint="eastAsia" w:ascii="仿宋" w:hAnsi="仿宋" w:eastAsia="仿宋" w:cs="仿宋"/>
          <w:i w:val="0"/>
          <w:iCs w:val="0"/>
          <w:color w:val="auto"/>
          <w:sz w:val="21"/>
          <w:szCs w:val="21"/>
          <w:highlight w:val="none"/>
          <w:u w:val="none"/>
          <w:lang w:val="en-US" w:eastAsia="zh-CN"/>
        </w:rPr>
        <w:t xml:space="preserve">点</w:t>
      </w:r>
      <w:r>
        <w:rPr>
          <w:rFonts w:hint="eastAsia" w:ascii="仿宋" w:hAnsi="仿宋" w:eastAsia="仿宋" w:cs="仿宋"/>
          <w:i w:val="0"/>
          <w:iCs w:val="0"/>
          <w:color w:val="auto"/>
          <w:sz w:val="21"/>
          <w:szCs w:val="21"/>
          <w:highlight w:val="none"/>
          <w:u w:val="single"/>
          <w:lang w:val="en-US" w:eastAsia="zh-CN"/>
        </w:rPr>
        <w:t xml:space="preserve">00</w:t>
      </w:r>
      <w:r>
        <w:rPr>
          <w:rFonts w:hint="eastAsia" w:ascii="仿宋" w:hAnsi="仿宋" w:eastAsia="仿宋" w:cs="仿宋"/>
          <w:i w:val="0"/>
          <w:iCs w:val="0"/>
          <w:color w:val="auto"/>
          <w:sz w:val="21"/>
          <w:szCs w:val="21"/>
          <w:highlight w:val="none"/>
          <w:u w:val="none"/>
          <w:lang w:val="en-US" w:eastAsia="zh-CN"/>
        </w:rPr>
        <w:t xml:space="preserve">分</w:t>
      </w:r>
      <w:r>
        <w:rPr>
          <w:rFonts w:hint="eastAsia" w:ascii="仿宋" w:hAnsi="仿宋" w:eastAsia="仿宋" w:cs="仿宋"/>
          <w:i w:val="0"/>
          <w:iCs w:val="0"/>
          <w:color w:val="auto"/>
          <w:sz w:val="21"/>
          <w:szCs w:val="21"/>
          <w:highlight w:val="none"/>
          <w:u w:val="none"/>
        </w:rPr>
        <w:t xml:space="preserve">（北京时间）前递交投标文件。</w:t>
      </w:r>
      <w:r/>
    </w:p>
    <w:p>
      <w:pPr>
        <w:pStyle w:val="746"/>
        <w:ind w:firstLine="420"/>
        <w:jc w:val="both"/>
        <w:keepLines/>
        <w:keepNext/>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bookmarkStart w:id="8" w:name="_Toc35393790"/>
      <w:r/>
      <w:bookmarkStart w:id="9" w:name="_Toc38985263"/>
      <w:r/>
      <w:bookmarkStart w:id="10" w:name="_Toc28359079"/>
      <w:r/>
      <w:bookmarkStart w:id="11" w:name="_Toc28359002"/>
      <w:r/>
      <w:bookmarkStart w:id="12" w:name="_Toc35393621"/>
      <w:r/>
      <w:bookmarkStart w:id="13" w:name="_Hlk24379207"/>
      <w:r>
        <w:rPr>
          <w:rFonts w:hint="eastAsia" w:ascii="仿宋" w:hAnsi="仿宋" w:eastAsia="仿宋" w:cs="仿宋"/>
          <w:b/>
          <w:i w:val="0"/>
          <w:iCs w:val="0"/>
          <w:color w:val="auto"/>
          <w:sz w:val="21"/>
          <w:szCs w:val="21"/>
          <w:highlight w:val="none"/>
        </w:rPr>
        <w:t xml:space="preserve">一、项目基本情况</w:t>
      </w:r>
      <w:bookmarkEnd w:id="8"/>
      <w:r/>
      <w:bookmarkEnd w:id="9"/>
      <w:r/>
      <w:bookmarkEnd w:id="10"/>
      <w:r/>
      <w:bookmarkEnd w:id="11"/>
      <w:r/>
      <w:bookmarkEnd w:id="12"/>
      <w:r/>
      <w:bookmarkEnd w:id="13"/>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 xml:space="preserve">1.项目编号：JSZC-320904-JSJY-G2025-0064</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 xml:space="preserve">2.项目名称：</w:t>
      </w:r>
      <w:r>
        <w:rPr>
          <w:rFonts w:hint="eastAsia" w:ascii="仿宋" w:hAnsi="仿宋" w:eastAsia="仿宋" w:cs="仿宋"/>
          <w:i w:val="0"/>
          <w:iCs w:val="0"/>
          <w:color w:val="auto"/>
          <w:sz w:val="21"/>
          <w:szCs w:val="21"/>
          <w:highlight w:val="none"/>
          <w:lang w:eastAsia="zh-CN"/>
        </w:rPr>
        <w:t xml:space="preserve">盐城市大丰区东片区乡镇部分农房改造项目</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采购方式：</w:t>
      </w:r>
      <w:r>
        <w:rPr>
          <w:rFonts w:hint="eastAsia" w:ascii="仿宋" w:hAnsi="仿宋" w:eastAsia="仿宋" w:cs="仿宋"/>
          <w:i w:val="0"/>
          <w:iCs w:val="0"/>
          <w:color w:val="auto"/>
          <w:sz w:val="21"/>
          <w:szCs w:val="21"/>
          <w:highlight w:val="none"/>
          <w:lang w:val="en-US" w:eastAsia="zh-CN"/>
        </w:rPr>
        <w:t xml:space="preserve">公开招标</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4</w:t>
      </w:r>
      <w:r>
        <w:rPr>
          <w:rFonts w:hint="eastAsia" w:ascii="仿宋" w:hAnsi="仿宋" w:eastAsia="仿宋" w:cs="仿宋"/>
          <w:i w:val="0"/>
          <w:iCs w:val="0"/>
          <w:color w:val="auto"/>
          <w:sz w:val="21"/>
          <w:szCs w:val="21"/>
          <w:highlight w:val="none"/>
        </w:rPr>
        <w:t xml:space="preserve">.预算金额：</w:t>
      </w:r>
      <w:r>
        <w:rPr>
          <w:rFonts w:hint="eastAsia" w:ascii="仿宋" w:hAnsi="仿宋" w:eastAsia="仿宋" w:cs="仿宋"/>
          <w:i w:val="0"/>
          <w:iCs w:val="0"/>
          <w:color w:val="auto"/>
          <w:sz w:val="21"/>
          <w:szCs w:val="21"/>
          <w:highlight w:val="none"/>
          <w:lang w:val="en-US" w:eastAsia="zh-CN"/>
        </w:rPr>
        <w:t xml:space="preserve">75000万元</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5.</w:t>
      </w:r>
      <w:r>
        <w:rPr>
          <w:rFonts w:hint="eastAsia" w:ascii="仿宋" w:hAnsi="仿宋" w:eastAsia="仿宋" w:cs="仿宋"/>
          <w:i w:val="0"/>
          <w:iCs w:val="0"/>
          <w:color w:val="auto"/>
          <w:sz w:val="21"/>
          <w:szCs w:val="21"/>
          <w:highlight w:val="none"/>
        </w:rPr>
        <w:t xml:space="preserve">最高限价：</w:t>
      </w:r>
      <w:r>
        <w:rPr>
          <w:rFonts w:hint="eastAsia" w:ascii="仿宋" w:hAnsi="仿宋" w:eastAsia="仿宋" w:cs="仿宋"/>
          <w:i w:val="0"/>
          <w:iCs w:val="0"/>
          <w:color w:val="auto"/>
          <w:sz w:val="21"/>
          <w:szCs w:val="21"/>
          <w:highlight w:val="none"/>
          <w:lang w:val="en-US" w:eastAsia="zh-CN"/>
        </w:rPr>
        <w:t xml:space="preserve">75000万元</w:t>
      </w:r>
      <w:r/>
    </w:p>
    <w:p>
      <w:pPr>
        <w:pStyle w:val="746"/>
        <w:ind w:firstLine="420"/>
        <w:jc w:val="both"/>
        <w:keepLines w:val="0"/>
        <w:keepNext w:val="0"/>
        <w:pageBreakBefore w:val="0"/>
        <w:spacing w:beforeAutospacing="0" w:afterAutospacing="0" w:line="480" w:lineRule="exact"/>
        <w:widowControl w:val="off"/>
        <w:rPr>
          <w:rFonts w:hint="default" w:ascii="仿宋" w:hAnsi="仿宋" w:eastAsia="仿宋" w:cs="仿宋"/>
          <w:i w:val="0"/>
          <w:iCs w:val="0"/>
          <w:color w:val="auto"/>
          <w:sz w:val="21"/>
          <w:szCs w:val="21"/>
          <w:highlight w:val="none"/>
          <w:lang w:val="en-US"/>
        </w:rPr>
      </w:pPr>
      <w:r>
        <w:rPr>
          <w:rFonts w:hint="eastAsia" w:ascii="仿宋" w:hAnsi="仿宋" w:eastAsia="仿宋" w:cs="仿宋"/>
          <w:i w:val="0"/>
          <w:iCs w:val="0"/>
          <w:color w:val="auto"/>
          <w:sz w:val="21"/>
          <w:szCs w:val="21"/>
          <w:highlight w:val="none"/>
          <w:lang w:val="en-US" w:eastAsia="zh-CN"/>
        </w:rPr>
        <w:t xml:space="preserve">6</w:t>
      </w:r>
      <w:r>
        <w:rPr>
          <w:rFonts w:hint="eastAsia" w:ascii="仿宋" w:hAnsi="仿宋" w:eastAsia="仿宋" w:cs="仿宋"/>
          <w:i w:val="0"/>
          <w:iCs w:val="0"/>
          <w:color w:val="auto"/>
          <w:sz w:val="21"/>
          <w:szCs w:val="21"/>
          <w:highlight w:val="none"/>
        </w:rPr>
        <w:t xml:space="preserve">.采购需求：</w:t>
      </w:r>
      <w:r>
        <w:rPr>
          <w:rFonts w:hint="eastAsia" w:ascii="仿宋" w:hAnsi="仿宋" w:eastAsia="仿宋" w:cs="仿宋"/>
          <w:i w:val="0"/>
          <w:iCs w:val="0"/>
          <w:color w:val="auto"/>
          <w:sz w:val="21"/>
          <w:szCs w:val="21"/>
          <w:highlight w:val="none"/>
          <w:lang w:eastAsia="zh-CN"/>
        </w:rPr>
        <w:t xml:space="preserve">本项目拟对盐城市大丰区大桥镇、</w:t>
      </w:r>
      <w:r>
        <w:rPr>
          <w:rFonts w:hint="eastAsia" w:ascii="仿宋" w:hAnsi="仿宋" w:eastAsia="仿宋" w:cs="仿宋"/>
          <w:i w:val="0"/>
          <w:iCs w:val="0"/>
          <w:color w:val="auto"/>
          <w:sz w:val="21"/>
          <w:szCs w:val="21"/>
          <w:highlight w:val="none"/>
          <w:lang w:val="en-US" w:eastAsia="zh-CN"/>
        </w:rPr>
        <w:t xml:space="preserve">万盈镇</w:t>
      </w:r>
      <w:r>
        <w:rPr>
          <w:rFonts w:hint="eastAsia" w:ascii="仿宋" w:hAnsi="仿宋" w:eastAsia="仿宋" w:cs="仿宋"/>
          <w:i w:val="0"/>
          <w:iCs w:val="0"/>
          <w:color w:val="auto"/>
          <w:sz w:val="21"/>
          <w:szCs w:val="21"/>
          <w:highlight w:val="none"/>
          <w:lang w:eastAsia="zh-CN"/>
        </w:rPr>
        <w:t xml:space="preserve">、南阳镇、草庙镇危旧房屋进行拆除，拆除总户数为3066户；拆除房屋总面积约356000平方米，其中：土地综合整治约2300亩，新增耕地面积约2300亩。</w:t>
      </w:r>
      <w:r>
        <w:rPr>
          <w:rFonts w:hint="eastAsia" w:ascii="仿宋" w:hAnsi="仿宋" w:eastAsia="仿宋" w:cs="仿宋"/>
          <w:i w:val="0"/>
          <w:iCs w:val="0"/>
          <w:color w:val="auto"/>
          <w:sz w:val="21"/>
          <w:szCs w:val="21"/>
          <w:highlight w:val="none"/>
          <w:lang w:val="en-US" w:eastAsia="zh-CN"/>
        </w:rPr>
        <w:t xml:space="preserve">具体详见本项目第四章采购需求。</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7</w:t>
      </w:r>
      <w:r>
        <w:rPr>
          <w:rFonts w:hint="eastAsia" w:ascii="仿宋" w:hAnsi="仿宋" w:eastAsia="仿宋" w:cs="仿宋"/>
          <w:i w:val="0"/>
          <w:iCs w:val="0"/>
          <w:color w:val="auto"/>
          <w:sz w:val="21"/>
          <w:szCs w:val="21"/>
          <w:highlight w:val="none"/>
        </w:rPr>
        <w:t xml:space="preserve">.合同履行期限：</w:t>
      </w:r>
      <w:r>
        <w:rPr>
          <w:rFonts w:hint="eastAsia" w:ascii="仿宋" w:hAnsi="仿宋" w:eastAsia="仿宋" w:cs="仿宋"/>
          <w:i w:val="0"/>
          <w:iCs w:val="0"/>
          <w:color w:val="auto"/>
          <w:sz w:val="21"/>
          <w:szCs w:val="21"/>
          <w:highlight w:val="none"/>
          <w:lang w:val="en-US" w:eastAsia="zh-CN"/>
        </w:rPr>
        <w:t xml:space="preserve">一年，自合同签订之日起计算。</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8.</w:t>
      </w:r>
      <w:r>
        <w:rPr>
          <w:rFonts w:hint="eastAsia" w:ascii="仿宋" w:hAnsi="仿宋" w:eastAsia="仿宋" w:cs="仿宋"/>
          <w:i w:val="0"/>
          <w:iCs w:val="0"/>
          <w:color w:val="auto"/>
          <w:sz w:val="21"/>
          <w:szCs w:val="21"/>
          <w:highlight w:val="none"/>
        </w:rPr>
        <w:t xml:space="preserve">本项目</w:t>
      </w:r>
      <w:r>
        <w:rPr>
          <w:rFonts w:hint="eastAsia" w:ascii="仿宋" w:hAnsi="仿宋" w:eastAsia="仿宋" w:cs="仿宋"/>
          <w:i w:val="0"/>
          <w:iCs w:val="0"/>
          <w:color w:val="auto"/>
          <w:sz w:val="21"/>
          <w:szCs w:val="21"/>
          <w:highlight w:val="none"/>
          <w:lang w:eastAsia="zh-CN"/>
        </w:rPr>
        <w:t xml:space="preserve">不</w:t>
      </w:r>
      <w:r>
        <w:rPr>
          <w:rFonts w:hint="eastAsia" w:ascii="仿宋" w:hAnsi="仿宋" w:eastAsia="仿宋" w:cs="仿宋"/>
          <w:i w:val="0"/>
          <w:iCs w:val="0"/>
          <w:color w:val="auto"/>
          <w:sz w:val="21"/>
          <w:szCs w:val="21"/>
          <w:highlight w:val="none"/>
        </w:rPr>
        <w:t xml:space="preserve">接受联合体参与</w:t>
      </w:r>
      <w:r>
        <w:rPr>
          <w:rFonts w:hint="eastAsia" w:ascii="仿宋" w:hAnsi="仿宋" w:eastAsia="仿宋" w:cs="仿宋"/>
          <w:i w:val="0"/>
          <w:iCs w:val="0"/>
          <w:color w:val="auto"/>
          <w:sz w:val="21"/>
          <w:szCs w:val="21"/>
          <w:highlight w:val="none"/>
          <w:lang w:val="en-US" w:eastAsia="zh-CN"/>
        </w:rPr>
        <w:t xml:space="preserve">招标</w:t>
      </w:r>
      <w:r>
        <w:rPr>
          <w:rFonts w:hint="eastAsia" w:ascii="仿宋" w:hAnsi="仿宋" w:eastAsia="仿宋" w:cs="仿宋"/>
          <w:i w:val="0"/>
          <w:iCs w:val="0"/>
          <w:color w:val="auto"/>
          <w:sz w:val="21"/>
          <w:szCs w:val="21"/>
          <w:highlight w:val="none"/>
          <w:lang w:eastAsia="zh-CN"/>
        </w:rPr>
        <w:t xml:space="preserve">。</w:t>
      </w:r>
      <w:r/>
    </w:p>
    <w:p>
      <w:pPr>
        <w:pStyle w:val="746"/>
        <w:ind w:firstLine="420"/>
        <w:jc w:val="both"/>
        <w:keepLines/>
        <w:keepNext/>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bookmarkStart w:id="14" w:name="_Toc35393622"/>
      <w:r/>
      <w:bookmarkStart w:id="15" w:name="_Toc28359003"/>
      <w:r/>
      <w:bookmarkStart w:id="16" w:name="_Toc35393791"/>
      <w:r/>
      <w:bookmarkStart w:id="17" w:name="_Toc28359080"/>
      <w:r/>
      <w:bookmarkStart w:id="18" w:name="_Toc38985264"/>
      <w:r>
        <w:rPr>
          <w:rFonts w:hint="eastAsia" w:ascii="仿宋" w:hAnsi="仿宋" w:eastAsia="仿宋" w:cs="仿宋"/>
          <w:b/>
          <w:i w:val="0"/>
          <w:iCs w:val="0"/>
          <w:color w:val="auto"/>
          <w:sz w:val="21"/>
          <w:szCs w:val="21"/>
          <w:highlight w:val="none"/>
        </w:rPr>
        <w:t xml:space="preserve">二、申请人的资格要求：</w:t>
      </w:r>
      <w:bookmarkEnd w:id="14"/>
      <w:r/>
      <w:bookmarkEnd w:id="15"/>
      <w:r/>
      <w:bookmarkEnd w:id="16"/>
      <w:r/>
      <w:bookmarkEnd w:id="17"/>
      <w:r/>
      <w:bookmarkEnd w:id="18"/>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1.满足《中华人民共和国政府采购法》第二十二条规定，并提供下列材料：</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1.1 法人或者其他组织的营业执照等证明文件，自然人的身份证明；</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1.2上一年度的财务状况报表（成立不满一年无需提供）；</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1.3</w:t>
      </w:r>
      <w:r>
        <w:rPr>
          <w:rFonts w:hint="eastAsia" w:ascii="仿宋" w:hAnsi="仿宋" w:eastAsia="仿宋" w:cs="仿宋"/>
          <w:i w:val="0"/>
          <w:iCs w:val="0"/>
          <w:color w:val="auto"/>
          <w:sz w:val="21"/>
          <w:szCs w:val="21"/>
          <w:highlight w:val="none"/>
        </w:rPr>
        <w:t xml:space="preserve">具备履行合同所必需的设备和专业技术能力的书面声明；</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w:t>
      </w:r>
      <w:r>
        <w:rPr>
          <w:rFonts w:hint="eastAsia" w:ascii="仿宋" w:hAnsi="仿宋" w:eastAsia="仿宋" w:cs="仿宋"/>
          <w:i w:val="0"/>
          <w:iCs w:val="0"/>
          <w:color w:val="auto"/>
          <w:sz w:val="21"/>
          <w:szCs w:val="21"/>
          <w:highlight w:val="none"/>
          <w:lang w:val="en-US" w:eastAsia="zh-CN"/>
        </w:rPr>
        <w:t xml:space="preserve">4</w:t>
      </w:r>
      <w:r>
        <w:rPr>
          <w:rFonts w:hint="eastAsia" w:ascii="仿宋" w:hAnsi="仿宋" w:eastAsia="仿宋" w:cs="仿宋"/>
          <w:i w:val="0"/>
          <w:iCs w:val="0"/>
          <w:color w:val="auto"/>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w:t>
      </w:r>
      <w:r>
        <w:rPr>
          <w:rFonts w:hint="eastAsia" w:ascii="仿宋" w:hAnsi="仿宋" w:eastAsia="仿宋" w:cs="仿宋"/>
          <w:i w:val="0"/>
          <w:iCs w:val="0"/>
          <w:color w:val="auto"/>
          <w:sz w:val="21"/>
          <w:szCs w:val="21"/>
          <w:highlight w:val="none"/>
        </w:rPr>
        <w:t xml:space="preserve">.5参加政府采购活动前3年内在经营活动中没有重大违法记录的书面声明。</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1.6法律、行政法规规定的其他条件。</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1.7</w:t>
      </w:r>
      <w:r>
        <w:rPr>
          <w:rFonts w:hint="eastAsia" w:ascii="仿宋" w:hAnsi="仿宋" w:eastAsia="仿宋" w:cs="仿宋"/>
          <w:i w:val="0"/>
          <w:iCs w:val="0"/>
          <w:color w:val="auto"/>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1.8</w:t>
      </w:r>
      <w:r>
        <w:rPr>
          <w:rFonts w:hint="eastAsia" w:ascii="仿宋" w:hAnsi="仿宋" w:eastAsia="仿宋" w:cs="仿宋"/>
          <w:i w:val="0"/>
          <w:iCs w:val="0"/>
          <w:color w:val="auto"/>
          <w:sz w:val="21"/>
          <w:szCs w:val="21"/>
          <w:highlight w:val="none"/>
        </w:rPr>
        <w:t xml:space="preserve">单位负责人为同一人或者存在直接控股、管理关系的不同供应商，不得参加同一合同项下的政府采购活动</w:t>
      </w:r>
      <w:r>
        <w:rPr>
          <w:rFonts w:hint="eastAsia" w:ascii="仿宋" w:hAnsi="仿宋" w:eastAsia="仿宋" w:cs="仿宋"/>
          <w:i w:val="0"/>
          <w:iCs w:val="0"/>
          <w:color w:val="auto"/>
          <w:sz w:val="21"/>
          <w:szCs w:val="21"/>
          <w:highlight w:val="none"/>
        </w:rPr>
        <w:t xml:space="preserve">（国务院资产监督管理机关直接监管的中央企业或地方人民政府出资的国有企业不受此限）</w:t>
      </w:r>
      <w:r>
        <w:rPr>
          <w:rFonts w:hint="eastAsia" w:ascii="仿宋" w:hAnsi="仿宋" w:eastAsia="仿宋" w:cs="仿宋"/>
          <w:i w:val="0"/>
          <w:iCs w:val="0"/>
          <w:color w:val="auto"/>
          <w:sz w:val="21"/>
          <w:szCs w:val="21"/>
          <w:highlight w:val="none"/>
        </w:rPr>
        <w:t xml:space="preserve">。</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w:t>
      </w:r>
      <w:r>
        <w:rPr>
          <w:rFonts w:hint="eastAsia" w:ascii="仿宋" w:hAnsi="仿宋" w:eastAsia="仿宋" w:cs="仿宋"/>
          <w:i w:val="0"/>
          <w:iCs w:val="0"/>
          <w:color w:val="auto"/>
          <w:sz w:val="21"/>
          <w:szCs w:val="21"/>
          <w:highlight w:val="none"/>
          <w:lang w:val="en-US" w:eastAsia="zh-CN"/>
        </w:rPr>
        <w:t xml:space="preserve">.</w:t>
      </w:r>
      <w:r>
        <w:rPr>
          <w:rFonts w:hint="eastAsia" w:ascii="仿宋" w:hAnsi="仿宋" w:eastAsia="仿宋" w:cs="仿宋"/>
          <w:i w:val="0"/>
          <w:iCs w:val="0"/>
          <w:color w:val="auto"/>
          <w:sz w:val="21"/>
          <w:szCs w:val="21"/>
          <w:highlight w:val="none"/>
        </w:rPr>
        <w:t xml:space="preserve">落实政府采购政策需满足的资格要求：无。</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本项目的特定资格要求</w:t>
      </w:r>
      <w:r>
        <w:rPr>
          <w:rFonts w:hint="eastAsia" w:ascii="仿宋" w:hAnsi="仿宋" w:eastAsia="仿宋" w:cs="仿宋"/>
          <w:i w:val="0"/>
          <w:iCs w:val="0"/>
          <w:color w:val="auto"/>
          <w:sz w:val="21"/>
          <w:szCs w:val="21"/>
          <w:highlight w:val="none"/>
          <w:lang w:eastAsia="zh-CN"/>
        </w:rPr>
        <w:t xml:space="preserve">：无。</w:t>
      </w:r>
      <w:r/>
    </w:p>
    <w:p>
      <w:pPr>
        <w:pStyle w:val="746"/>
        <w:ind w:firstLine="420"/>
        <w:jc w:val="both"/>
        <w:keepLines/>
        <w:keepNext/>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三、获取招标文件</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bookmarkStart w:id="19" w:name="_Toc28359005"/>
      <w:r/>
      <w:bookmarkStart w:id="20" w:name="_Toc35393793"/>
      <w:r/>
      <w:bookmarkStart w:id="21" w:name="_Toc38985266"/>
      <w:r/>
      <w:bookmarkStart w:id="22" w:name="_Toc28359082"/>
      <w:r/>
      <w:bookmarkStart w:id="23" w:name="_Toc35393624"/>
      <w:r>
        <w:rPr>
          <w:rFonts w:hint="eastAsia" w:ascii="仿宋" w:hAnsi="仿宋" w:eastAsia="仿宋" w:cs="仿宋"/>
          <w:i w:val="0"/>
          <w:iCs w:val="0"/>
          <w:color w:val="auto"/>
          <w:sz w:val="21"/>
          <w:szCs w:val="21"/>
          <w:highlight w:val="none"/>
        </w:rPr>
        <w:t xml:space="preserve">1.时间：</w:t>
      </w:r>
      <w:bookmarkEnd w:id="19"/>
      <w:r/>
      <w:bookmarkEnd w:id="20"/>
      <w:r/>
      <w:bookmarkEnd w:id="21"/>
      <w:r/>
      <w:bookmarkEnd w:id="22"/>
      <w:r/>
      <w:bookmarkEnd w:id="23"/>
      <w:r>
        <w:rPr>
          <w:rFonts w:hint="eastAsia" w:ascii="仿宋" w:hAnsi="仿宋" w:eastAsia="仿宋" w:cs="仿宋"/>
          <w:i w:val="0"/>
          <w:iCs w:val="0"/>
          <w:color w:val="auto"/>
          <w:sz w:val="21"/>
          <w:szCs w:val="21"/>
          <w:highlight w:val="none"/>
        </w:rPr>
        <w:t xml:space="preserve">自招标文件公告发布之日起5个工作日</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2.地点：</w:t>
      </w:r>
      <w:r>
        <w:rPr>
          <w:rFonts w:hint="eastAsia" w:ascii="仿宋" w:hAnsi="仿宋" w:eastAsia="仿宋" w:cs="仿宋"/>
          <w:i w:val="0"/>
          <w:iCs w:val="0"/>
          <w:color w:val="auto"/>
          <w:sz w:val="21"/>
          <w:szCs w:val="21"/>
          <w:highlight w:val="none"/>
        </w:rPr>
        <w:t xml:space="preserve">“苏采云”系统内免费下载（投标人必须在苏采云系统中获取采购文件，方能参与政府采购项目）</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.方式：</w:t>
      </w:r>
      <w:r>
        <w:rPr>
          <w:rFonts w:hint="eastAsia" w:ascii="仿宋" w:hAnsi="仿宋" w:eastAsia="仿宋" w:cs="仿宋"/>
          <w:i w:val="0"/>
          <w:iCs w:val="0"/>
          <w:color w:val="auto"/>
          <w:sz w:val="21"/>
          <w:szCs w:val="21"/>
          <w:highlight w:val="none"/>
        </w:rPr>
        <w:t xml:space="preserve">网上注册登记成功后苏采云系统内免费下载</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4.售价：0元</w:t>
      </w:r>
      <w:r/>
    </w:p>
    <w:p>
      <w:pPr>
        <w:pStyle w:val="746"/>
        <w:ind w:firstLine="420"/>
        <w:jc w:val="both"/>
        <w:keepLines/>
        <w:keepNext/>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四、提交投标文件截止时间、开标时间和地点</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1.时间：</w:t>
      </w:r>
      <w:r>
        <w:rPr>
          <w:rFonts w:hint="eastAsia" w:ascii="仿宋" w:hAnsi="仿宋" w:eastAsia="仿宋" w:cs="仿宋"/>
          <w:i w:val="0"/>
          <w:iCs w:val="0"/>
          <w:color w:val="auto"/>
          <w:sz w:val="21"/>
          <w:szCs w:val="21"/>
          <w:highlight w:val="none"/>
          <w:u w:val="single"/>
          <w:lang w:eastAsia="zh-CN"/>
        </w:rPr>
        <w:t xml:space="preserve">2025</w:t>
      </w:r>
      <w:r>
        <w:rPr>
          <w:rFonts w:hint="eastAsia" w:ascii="仿宋" w:hAnsi="仿宋" w:eastAsia="仿宋" w:cs="仿宋"/>
          <w:i w:val="0"/>
          <w:iCs w:val="0"/>
          <w:color w:val="auto"/>
          <w:sz w:val="21"/>
          <w:szCs w:val="21"/>
          <w:highlight w:val="none"/>
          <w:u w:val="none"/>
          <w:lang w:eastAsia="zh-CN"/>
        </w:rPr>
        <w:t xml:space="preserve">年</w:t>
      </w:r>
      <w:r>
        <w:rPr>
          <w:rFonts w:hint="eastAsia" w:ascii="仿宋" w:hAnsi="仿宋" w:eastAsia="仿宋" w:cs="仿宋"/>
          <w:i w:val="0"/>
          <w:iCs w:val="0"/>
          <w:color w:val="auto"/>
          <w:sz w:val="21"/>
          <w:szCs w:val="21"/>
          <w:highlight w:val="none"/>
          <w:u w:val="single"/>
          <w:lang w:val="en-US" w:eastAsia="zh-CN"/>
        </w:rPr>
        <w:t xml:space="preserve">12</w:t>
      </w:r>
      <w:r>
        <w:rPr>
          <w:rFonts w:hint="eastAsia" w:ascii="仿宋" w:hAnsi="仿宋" w:eastAsia="仿宋" w:cs="仿宋"/>
          <w:i w:val="0"/>
          <w:iCs w:val="0"/>
          <w:color w:val="auto"/>
          <w:sz w:val="21"/>
          <w:szCs w:val="21"/>
          <w:highlight w:val="none"/>
          <w:u w:val="none"/>
          <w:lang w:val="en-US" w:eastAsia="zh-CN"/>
        </w:rPr>
        <w:t xml:space="preserve">月</w:t>
      </w:r>
      <w:r>
        <w:rPr>
          <w:rFonts w:hint="eastAsia" w:ascii="仿宋" w:hAnsi="仿宋" w:eastAsia="仿宋" w:cs="仿宋"/>
          <w:i w:val="0"/>
          <w:iCs w:val="0"/>
          <w:color w:val="auto"/>
          <w:sz w:val="21"/>
          <w:szCs w:val="21"/>
          <w:highlight w:val="none"/>
          <w:u w:val="single"/>
          <w:lang w:val="en-US" w:eastAsia="zh-CN"/>
        </w:rPr>
        <w:t xml:space="preserve">25</w:t>
      </w:r>
      <w:r>
        <w:rPr>
          <w:rFonts w:hint="eastAsia" w:ascii="仿宋" w:hAnsi="仿宋" w:eastAsia="仿宋" w:cs="仿宋"/>
          <w:i w:val="0"/>
          <w:iCs w:val="0"/>
          <w:color w:val="auto"/>
          <w:sz w:val="21"/>
          <w:szCs w:val="21"/>
          <w:highlight w:val="none"/>
          <w:u w:val="none"/>
          <w:lang w:val="en-US" w:eastAsia="zh-CN"/>
        </w:rPr>
        <w:t xml:space="preserve">日</w:t>
      </w:r>
      <w:r>
        <w:rPr>
          <w:rFonts w:hint="eastAsia" w:ascii="仿宋" w:hAnsi="仿宋" w:eastAsia="仿宋" w:cs="仿宋"/>
          <w:i w:val="0"/>
          <w:iCs w:val="0"/>
          <w:color w:val="auto"/>
          <w:sz w:val="21"/>
          <w:szCs w:val="21"/>
          <w:highlight w:val="none"/>
          <w:u w:val="single"/>
          <w:lang w:val="en-US" w:eastAsia="zh-CN"/>
        </w:rPr>
        <w:t xml:space="preserve">10</w:t>
      </w:r>
      <w:r>
        <w:rPr>
          <w:rFonts w:hint="eastAsia" w:ascii="仿宋" w:hAnsi="仿宋" w:eastAsia="仿宋" w:cs="仿宋"/>
          <w:i w:val="0"/>
          <w:iCs w:val="0"/>
          <w:color w:val="auto"/>
          <w:sz w:val="21"/>
          <w:szCs w:val="21"/>
          <w:highlight w:val="none"/>
          <w:u w:val="none"/>
          <w:lang w:val="en-US" w:eastAsia="zh-CN"/>
        </w:rPr>
        <w:t xml:space="preserve">点</w:t>
      </w:r>
      <w:r>
        <w:rPr>
          <w:rFonts w:hint="eastAsia" w:ascii="仿宋" w:hAnsi="仿宋" w:eastAsia="仿宋" w:cs="仿宋"/>
          <w:i w:val="0"/>
          <w:iCs w:val="0"/>
          <w:color w:val="auto"/>
          <w:sz w:val="21"/>
          <w:szCs w:val="21"/>
          <w:highlight w:val="none"/>
          <w:u w:val="single"/>
          <w:lang w:val="en-US" w:eastAsia="zh-CN"/>
        </w:rPr>
        <w:t xml:space="preserve">00</w:t>
      </w:r>
      <w:r>
        <w:rPr>
          <w:rFonts w:hint="eastAsia" w:ascii="仿宋" w:hAnsi="仿宋" w:eastAsia="仿宋" w:cs="仿宋"/>
          <w:i w:val="0"/>
          <w:iCs w:val="0"/>
          <w:color w:val="auto"/>
          <w:sz w:val="21"/>
          <w:szCs w:val="21"/>
          <w:highlight w:val="none"/>
          <w:u w:val="none"/>
          <w:lang w:val="en-US" w:eastAsia="zh-CN"/>
        </w:rPr>
        <w:t xml:space="preserve">分</w:t>
      </w:r>
      <w:r>
        <w:rPr>
          <w:rFonts w:hint="eastAsia" w:ascii="仿宋" w:hAnsi="仿宋" w:eastAsia="仿宋" w:cs="仿宋"/>
          <w:i w:val="0"/>
          <w:iCs w:val="0"/>
          <w:color w:val="auto"/>
          <w:sz w:val="21"/>
          <w:szCs w:val="21"/>
          <w:highlight w:val="none"/>
        </w:rPr>
        <w:t xml:space="preserve">（北京时间）</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2.地点：“苏采云”政府采购交易系统网上开标大厅。</w:t>
      </w:r>
      <w:r/>
    </w:p>
    <w:p>
      <w:pPr>
        <w:pStyle w:val="746"/>
        <w:ind w:firstLine="420"/>
        <w:jc w:val="both"/>
        <w:keepLines/>
        <w:keepNext/>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bookmarkStart w:id="24" w:name="_Toc35393625"/>
      <w:r/>
      <w:bookmarkStart w:id="25" w:name="_Toc28359007"/>
      <w:r/>
      <w:bookmarkStart w:id="26" w:name="_Toc28359084"/>
      <w:r/>
      <w:bookmarkStart w:id="27" w:name="_Toc38985267"/>
      <w:r/>
      <w:bookmarkStart w:id="28" w:name="_Toc35393794"/>
      <w:r>
        <w:rPr>
          <w:rFonts w:hint="eastAsia" w:ascii="仿宋" w:hAnsi="仿宋" w:eastAsia="仿宋" w:cs="仿宋"/>
          <w:b/>
          <w:i w:val="0"/>
          <w:iCs w:val="0"/>
          <w:color w:val="auto"/>
          <w:sz w:val="21"/>
          <w:szCs w:val="21"/>
          <w:highlight w:val="none"/>
        </w:rPr>
        <w:t xml:space="preserve">五、公告期限</w:t>
      </w:r>
      <w:bookmarkEnd w:id="24"/>
      <w:r/>
      <w:bookmarkEnd w:id="25"/>
      <w:r/>
      <w:bookmarkEnd w:id="26"/>
      <w:r/>
      <w:bookmarkEnd w:id="27"/>
      <w:r/>
      <w:bookmarkEnd w:id="28"/>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bookmarkStart w:id="29" w:name="_Toc35393626"/>
      <w:r/>
      <w:bookmarkStart w:id="30" w:name="_Toc38985268"/>
      <w:r/>
      <w:bookmarkStart w:id="31" w:name="_Toc35393795"/>
      <w:r>
        <w:rPr>
          <w:rFonts w:hint="eastAsia" w:ascii="仿宋" w:hAnsi="仿宋" w:eastAsia="仿宋" w:cs="仿宋"/>
          <w:i w:val="0"/>
          <w:iCs w:val="0"/>
          <w:color w:val="auto"/>
          <w:sz w:val="21"/>
          <w:szCs w:val="21"/>
          <w:highlight w:val="none"/>
          <w:lang w:val="en-US" w:eastAsia="zh-CN"/>
        </w:rPr>
        <w:t xml:space="preserve">自本公告发布之日起5个工作日。</w:t>
      </w:r>
      <w:bookmarkEnd w:id="29"/>
      <w:r/>
      <w:bookmarkEnd w:id="30"/>
      <w:r/>
      <w:bookmarkEnd w:id="31"/>
      <w:r/>
      <w:r/>
    </w:p>
    <w:p>
      <w:pPr>
        <w:pStyle w:val="746"/>
        <w:ind w:firstLine="420"/>
        <w:jc w:val="both"/>
        <w:keepLines/>
        <w:keepNext/>
        <w:pageBreakBefore w:val="0"/>
        <w:spacing w:beforeAutospacing="0" w:afterAutospacing="0" w:line="48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六、其他补充事宜</w:t>
      </w:r>
      <w:r/>
    </w:p>
    <w:p>
      <w:pPr>
        <w:ind w:firstLine="420"/>
        <w:keepLines w:val="0"/>
        <w:keepNext w:val="0"/>
        <w:pageBreakBefore w:val="0"/>
        <w:spacing w:line="480" w:lineRule="exact"/>
        <w:widowControl w:val="off"/>
        <w:tabs>
          <w:tab w:val="left" w:pos="900" w:leader="none"/>
        </w:tabs>
        <w:rPr>
          <w:rFonts w:hint="eastAsia" w:ascii="仿宋" w:hAnsi="仿宋" w:eastAsia="仿宋" w:cs="仿宋"/>
          <w:i w:val="0"/>
          <w:iCs w:val="0"/>
          <w:color w:val="auto"/>
          <w:sz w:val="21"/>
          <w:szCs w:val="21"/>
          <w:highlight w:val="none"/>
        </w:rPr>
      </w:pPr>
      <w:r/>
      <w:bookmarkStart w:id="32" w:name="_Toc28359018"/>
      <w:r>
        <w:rPr>
          <w:rFonts w:hint="eastAsia" w:ascii="仿宋" w:hAnsi="仿宋" w:eastAsia="仿宋" w:cs="仿宋"/>
          <w:i w:val="0"/>
          <w:iCs w:val="0"/>
          <w:color w:val="auto"/>
          <w:sz w:val="21"/>
          <w:szCs w:val="21"/>
          <w:highlight w:val="none"/>
        </w:rPr>
        <w:t xml:space="preserve">1.有关本次招标的事项若存在变动或修改，敬请及时关注采购人在“中国政府采购网”、“江苏政府采购网”、“盐城市政府采购网”发布的更正公告。</w:t>
      </w:r>
      <w:r/>
    </w:p>
    <w:p>
      <w:pPr>
        <w:ind w:firstLine="420"/>
        <w:keepLines w:val="0"/>
        <w:keepNext w:val="0"/>
        <w:pageBreakBefore w:val="0"/>
        <w:spacing w:line="48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2.本次招标不收取投标保证金，不收取质量保证金。</w:t>
      </w:r>
      <w:r/>
    </w:p>
    <w:p>
      <w:pPr>
        <w:ind w:firstLine="420"/>
        <w:keepLines w:val="0"/>
        <w:keepNext w:val="0"/>
        <w:pageBreakBefore w:val="0"/>
        <w:spacing w:line="48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3.评审结束后，中标人需提供纸质投标文件一正四副用于归档，未中标单位不需要提供。</w:t>
      </w:r>
      <w:r/>
    </w:p>
    <w:p>
      <w:pPr>
        <w:ind w:firstLine="420"/>
        <w:keepLines w:val="0"/>
        <w:keepNext w:val="0"/>
        <w:pageBreakBefore w:val="0"/>
        <w:spacing w:line="48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4.</w:t>
      </w:r>
      <w:r>
        <w:rPr>
          <w:rFonts w:hint="eastAsia" w:ascii="仿宋" w:hAnsi="仿宋" w:eastAsia="仿宋" w:cs="仿宋"/>
          <w:i w:val="0"/>
          <w:iCs w:val="0"/>
          <w:color w:val="auto"/>
          <w:sz w:val="21"/>
          <w:szCs w:val="21"/>
          <w:highlight w:val="none"/>
        </w:rPr>
        <w:t xml:space="preserve">潜在供应商访问电子招标响应交易平台的网络地址和方法：“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20"/>
        <w:keepLines w:val="0"/>
        <w:keepNext w:val="0"/>
        <w:pageBreakBefore w:val="0"/>
        <w:spacing w:line="48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5.</w:t>
      </w:r>
      <w:r>
        <w:rPr>
          <w:rFonts w:hint="eastAsia" w:ascii="仿宋" w:hAnsi="仿宋" w:eastAsia="仿宋" w:cs="仿宋"/>
          <w:i w:val="0"/>
          <w:iCs w:val="0"/>
          <w:color w:val="auto"/>
          <w:sz w:val="21"/>
          <w:szCs w:val="21"/>
          <w:highlight w:val="none"/>
        </w:rPr>
        <w:t xml:space="preserve">潜在投标人访问“苏采云”系统方法：江苏省政府采购网首页-“苏采云”链接（</w:t>
      </w:r>
      <w:r>
        <w:rPr>
          <w:rFonts w:hint="eastAsia" w:ascii="仿宋" w:hAnsi="仿宋" w:eastAsia="仿宋" w:cs="仿宋"/>
          <w:i w:val="0"/>
          <w:iCs w:val="0"/>
          <w:color w:val="auto"/>
          <w:sz w:val="21"/>
          <w:szCs w:val="21"/>
          <w:highlight w:val="none"/>
        </w:rPr>
        <w:t xml:space="preserve">http://jszfcg.jsczt.cn/jszc/login</w:t>
      </w:r>
      <w:r>
        <w:rPr>
          <w:rFonts w:hint="eastAsia" w:ascii="仿宋" w:hAnsi="仿宋" w:eastAsia="仿宋" w:cs="仿宋"/>
          <w:i w:val="0"/>
          <w:iCs w:val="0"/>
          <w:color w:val="auto"/>
          <w:sz w:val="21"/>
          <w:szCs w:val="21"/>
          <w:highlight w:val="none"/>
        </w:rPr>
        <w:t xml:space="preserve">）。</w:t>
      </w:r>
      <w:r/>
    </w:p>
    <w:p>
      <w:pPr>
        <w:ind w:firstLine="420"/>
        <w:keepLines w:val="0"/>
        <w:keepNext w:val="0"/>
        <w:pageBreakBefore w:val="0"/>
        <w:spacing w:line="48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6.</w:t>
      </w:r>
      <w:r>
        <w:rPr>
          <w:rFonts w:hint="eastAsia" w:ascii="仿宋" w:hAnsi="仿宋" w:eastAsia="仿宋" w:cs="仿宋"/>
          <w:i w:val="0"/>
          <w:iCs w:val="0"/>
          <w:color w:val="auto"/>
          <w:sz w:val="21"/>
          <w:szCs w:val="21"/>
          <w:highlight w:val="none"/>
        </w:rPr>
        <w:t xml:space="preserve">“CA 数字证书”的获取：供应商需办理CA锁，“苏采云”系统目前仅支持政务CA，省内各地区办理的用于“苏采云”平台的政务CA全省通用。盐城地区政务CA办理请至亭湖区政务服务中心二楼226窗口办理，联系电话：15051556883。</w:t>
      </w:r>
      <w:r/>
    </w:p>
    <w:p>
      <w:pPr>
        <w:ind w:firstLine="420"/>
        <w:keepLines w:val="0"/>
        <w:keepNext w:val="0"/>
        <w:pageBreakBefore w:val="0"/>
        <w:spacing w:line="48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7.</w:t>
      </w:r>
      <w:r>
        <w:rPr>
          <w:rFonts w:hint="eastAsia" w:ascii="仿宋" w:hAnsi="仿宋" w:eastAsia="仿宋" w:cs="仿宋"/>
          <w:i w:val="0"/>
          <w:iCs w:val="0"/>
          <w:color w:val="auto"/>
          <w:sz w:val="21"/>
          <w:szCs w:val="21"/>
          <w:highlight w:val="none"/>
        </w:rPr>
        <w:t xml:space="preserve">采购文件（后缀名为“.kedt”）、供应商操作手册及政府采购客户端工具可通过“苏采云”系统相应链接进行下载。</w:t>
      </w:r>
      <w:r/>
    </w:p>
    <w:p>
      <w:pPr>
        <w:pStyle w:val="746"/>
        <w:ind w:firstLine="420"/>
        <w:jc w:val="both"/>
        <w:keepLines/>
        <w:keepNext/>
        <w:pageBreakBefore w:val="0"/>
        <w:spacing w:beforeAutospacing="0" w:afterAutospacing="0" w:line="480" w:lineRule="exact"/>
        <w:widowControl w:val="off"/>
        <w:rPr>
          <w:rFonts w:hint="eastAsia" w:ascii="仿宋" w:hAnsi="仿宋" w:eastAsia="仿宋" w:cs="仿宋"/>
          <w:b/>
          <w:i w:val="0"/>
          <w:iCs w:val="0"/>
          <w:color w:val="auto"/>
          <w:sz w:val="21"/>
          <w:szCs w:val="21"/>
          <w:highlight w:val="none"/>
        </w:rPr>
      </w:pPr>
      <w:r>
        <w:rPr>
          <w:rFonts w:hint="eastAsia" w:ascii="仿宋" w:hAnsi="仿宋" w:eastAsia="仿宋" w:cs="仿宋"/>
          <w:b/>
          <w:i w:val="0"/>
          <w:iCs w:val="0"/>
          <w:color w:val="auto"/>
          <w:sz w:val="21"/>
          <w:szCs w:val="21"/>
          <w:highlight w:val="none"/>
          <w:lang w:val="en-US" w:eastAsia="zh-CN"/>
        </w:rPr>
        <w:t xml:space="preserve">七</w:t>
      </w:r>
      <w:r>
        <w:rPr>
          <w:rFonts w:hint="eastAsia" w:ascii="仿宋" w:hAnsi="仿宋" w:eastAsia="仿宋" w:cs="仿宋"/>
          <w:b/>
          <w:i w:val="0"/>
          <w:iCs w:val="0"/>
          <w:color w:val="auto"/>
          <w:sz w:val="21"/>
          <w:szCs w:val="21"/>
          <w:highlight w:val="none"/>
        </w:rPr>
        <w:t xml:space="preserve">、对本次</w:t>
      </w:r>
      <w:r>
        <w:rPr>
          <w:rFonts w:hint="eastAsia" w:ascii="仿宋" w:hAnsi="仿宋" w:eastAsia="仿宋" w:cs="仿宋"/>
          <w:b/>
          <w:i w:val="0"/>
          <w:iCs w:val="0"/>
          <w:color w:val="auto"/>
          <w:sz w:val="21"/>
          <w:szCs w:val="21"/>
          <w:highlight w:val="none"/>
          <w:lang w:val="en-US" w:eastAsia="zh-CN"/>
        </w:rPr>
        <w:t xml:space="preserve">招标</w:t>
      </w:r>
      <w:r>
        <w:rPr>
          <w:rFonts w:hint="eastAsia" w:ascii="仿宋" w:hAnsi="仿宋" w:eastAsia="仿宋" w:cs="仿宋"/>
          <w:b/>
          <w:i w:val="0"/>
          <w:iCs w:val="0"/>
          <w:color w:val="auto"/>
          <w:sz w:val="21"/>
          <w:szCs w:val="21"/>
          <w:highlight w:val="none"/>
        </w:rPr>
        <w:t xml:space="preserve">提出询问，请按以下方式联系。</w:t>
      </w:r>
      <w:bookmarkEnd w:id="32"/>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1.采购人信息</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名    称：盐城市大丰区住房和城乡建设局</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地    址：盐城市大丰区健康东路82号</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联 系 人：乔海泉              </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联系电话：0515-83535379</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2.采购代理机构（如有）</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单位名称：江苏建友兴业工程项目管理有限公司</w:t>
      </w:r>
      <w:r/>
    </w:p>
    <w:p>
      <w:pPr>
        <w:pStyle w:val="746"/>
        <w:ind w:firstLine="420"/>
        <w:jc w:val="both"/>
        <w:keepLines w:val="0"/>
        <w:keepNext w:val="0"/>
        <w:pageBreakBefore w:val="0"/>
        <w:spacing w:beforeAutospacing="0" w:afterAutospacing="0" w:line="480" w:lineRule="exact"/>
        <w:widowControl w:val="off"/>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单位地址：盐城市大丰区黄海东路28号（恒达世纪新城18装四楼）</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联 系 人：蒋华林</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联系电话：15189285981　</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3.项目联系方式</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项目联系人：蒋华林</w:t>
      </w:r>
      <w:r/>
    </w:p>
    <w:p>
      <w:pPr>
        <w:pStyle w:val="746"/>
        <w:ind w:firstLine="420"/>
        <w:jc w:val="both"/>
        <w:keepLines w:val="0"/>
        <w:keepNext w:val="0"/>
        <w:pageBreakBefore w:val="0"/>
        <w:spacing w:beforeAutospacing="0" w:afterAutospacing="0" w:line="480" w:lineRule="exact"/>
        <w:widowControl w:val="off"/>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1"/>
          <w:szCs w:val="21"/>
          <w:highlight w:val="none"/>
          <w:lang w:val="en-US" w:eastAsia="zh-CN"/>
        </w:rPr>
        <w:t xml:space="preserve">电话：15189285981</w:t>
      </w:r>
      <w:r/>
    </w:p>
    <w:p>
      <w:pP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　　　　　　　　　　</w:t>
      </w:r>
      <w:r/>
    </w:p>
    <w:p>
      <w:pPr>
        <w:pStyle w:val="746"/>
        <w:ind w:firstLine="480"/>
        <w:jc w:val="both"/>
        <w:spacing w:beforeAutospacing="0" w:afterAutospacing="0"/>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 </w:t>
      </w:r>
      <w:r/>
    </w:p>
    <w:p>
      <w:pPr>
        <w:rPr>
          <w:rFonts w:hint="eastAsia" w:ascii="仿宋" w:hAnsi="仿宋" w:eastAsia="仿宋" w:cs="仿宋"/>
          <w:b/>
          <w:i w:val="0"/>
          <w:iCs w:val="0"/>
          <w:color w:val="auto"/>
          <w:sz w:val="44"/>
          <w:szCs w:val="44"/>
          <w:highlight w:val="none"/>
        </w:rPr>
      </w:pPr>
      <w:r>
        <w:rPr>
          <w:rFonts w:hint="eastAsia" w:ascii="仿宋" w:hAnsi="仿宋" w:eastAsia="仿宋" w:cs="仿宋"/>
          <w:i w:val="0"/>
          <w:iCs w:val="0"/>
          <w:color w:val="auto"/>
          <w:highlight w:val="none"/>
        </w:rPr>
        <w:br w:type="page" w:clear="all"/>
      </w:r>
      <w:bookmarkStart w:id="33" w:name="_Toc120614211"/>
      <w:r/>
      <w:r/>
    </w:p>
    <w:p>
      <w:pPr>
        <w:pStyle w:val="746"/>
        <w:jc w:val="center"/>
        <w:keepLines w:val="0"/>
        <w:keepNext w:val="0"/>
        <w:pageBreakBefore w:val="0"/>
        <w:spacing w:beforeAutospacing="0" w:afterAutospacing="0"/>
        <w:widowControl w:val="off"/>
        <w:rPr>
          <w:rFonts w:hint="eastAsia" w:ascii="仿宋" w:hAnsi="仿宋" w:eastAsia="仿宋" w:cs="仿宋"/>
          <w:i w:val="0"/>
          <w:iCs w:val="0"/>
          <w:color w:val="auto"/>
          <w:highlight w:val="none"/>
        </w:rPr>
      </w:pPr>
      <w:r/>
      <w:bookmarkStart w:id="34" w:name="_Toc11525"/>
      <w:r>
        <w:rPr>
          <w:rFonts w:hint="eastAsia" w:ascii="仿宋" w:hAnsi="仿宋" w:eastAsia="仿宋" w:cs="仿宋"/>
          <w:b/>
          <w:bCs/>
          <w:i w:val="0"/>
          <w:iCs w:val="0"/>
          <w:color w:val="auto"/>
          <w:sz w:val="44"/>
          <w:szCs w:val="44"/>
          <w:highlight w:val="none"/>
        </w:rPr>
        <w:t xml:space="preserve">第二章</w:t>
      </w:r>
      <w:bookmarkEnd w:id="33"/>
      <w:r/>
      <w:bookmarkStart w:id="35" w:name="_Toc120614213"/>
      <w:r/>
      <w:bookmarkStart w:id="36" w:name="_Toc16938518"/>
      <w:r/>
      <w:bookmarkStart w:id="37" w:name="_Toc20823274"/>
      <w:r/>
      <w:bookmarkStart w:id="38" w:name="_Toc513029202"/>
      <w:r>
        <w:rPr>
          <w:rFonts w:hint="eastAsia" w:ascii="仿宋" w:hAnsi="仿宋" w:eastAsia="仿宋" w:cs="仿宋"/>
          <w:b/>
          <w:bCs/>
          <w:i w:val="0"/>
          <w:iCs w:val="0"/>
          <w:color w:val="auto"/>
          <w:sz w:val="44"/>
          <w:szCs w:val="44"/>
          <w:highlight w:val="none"/>
        </w:rPr>
        <w:t xml:space="preserve"> 投标人须知</w:t>
      </w:r>
      <w:bookmarkEnd w:id="34"/>
      <w:r/>
      <w:bookmarkEnd w:id="35"/>
      <w:r/>
      <w:bookmarkEnd w:id="36"/>
      <w:r/>
      <w:bookmarkEnd w:id="37"/>
      <w:r/>
      <w:bookmarkEnd w:id="38"/>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39" w:name="_Toc513029203"/>
      <w:r/>
      <w:bookmarkStart w:id="40" w:name="_Toc16938519"/>
      <w:r/>
      <w:bookmarkStart w:id="41" w:name="_Toc20823275"/>
      <w:r/>
      <w:bookmarkStart w:id="42" w:name="_Toc120614214"/>
      <w:r/>
      <w:bookmarkStart w:id="43" w:name="_Hlt26670482"/>
      <w:r/>
      <w:bookmarkStart w:id="44" w:name="_Hlt26954852"/>
      <w:r/>
      <w:bookmarkStart w:id="45" w:name="_Hlt26954846"/>
      <w:r/>
      <w:bookmarkStart w:id="46" w:name="_Hlt26954838"/>
      <w:r/>
      <w:bookmarkStart w:id="47" w:name="_Hlt26954731"/>
      <w:r/>
      <w:bookmarkStart w:id="48" w:name="_Hlt26670360"/>
      <w:r/>
      <w:bookmarkStart w:id="49" w:name="_Hlt26668975"/>
      <w:r/>
      <w:bookmarkStart w:id="50" w:name="_Hlt26954848"/>
      <w:r/>
      <w:bookmarkStart w:id="51" w:name="_Hlt16619475"/>
      <w:r/>
      <w:bookmarkStart w:id="52" w:name="_Hlt26954739"/>
      <w:r/>
      <w:bookmarkStart w:id="53" w:name="_Hlt26670486"/>
      <w:r/>
      <w:bookmarkStart w:id="54" w:name="_Toc513029226"/>
      <w:r>
        <w:rPr>
          <w:rFonts w:hint="eastAsia" w:ascii="仿宋" w:hAnsi="仿宋" w:eastAsia="仿宋" w:cs="仿宋"/>
          <w:b/>
          <w:i w:val="0"/>
          <w:iCs w:val="0"/>
          <w:color w:val="auto"/>
          <w:sz w:val="21"/>
          <w:szCs w:val="21"/>
          <w:highlight w:val="none"/>
          <w:lang w:val="en-US" w:eastAsia="zh-CN" w:bidi="ar-SA"/>
        </w:rPr>
        <w:t xml:space="preserve">一、总则</w:t>
      </w:r>
      <w:bookmarkEnd w:id="39"/>
      <w:r/>
      <w:bookmarkEnd w:id="40"/>
      <w:r/>
      <w:bookmarkEnd w:id="41"/>
      <w:r/>
      <w:bookmarkEnd w:id="42"/>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55" w:name="_Toc16938520"/>
      <w:r/>
      <w:bookmarkStart w:id="56" w:name="_Toc458694821"/>
      <w:r/>
      <w:bookmarkStart w:id="57" w:name="_Toc513029204"/>
      <w:r/>
      <w:bookmarkStart w:id="58" w:name="_Toc20823276"/>
      <w:r>
        <w:rPr>
          <w:rFonts w:hint="eastAsia" w:ascii="仿宋" w:hAnsi="仿宋" w:eastAsia="仿宋" w:cs="仿宋"/>
          <w:i w:val="0"/>
          <w:iCs w:val="0"/>
          <w:color w:val="auto"/>
          <w:sz w:val="21"/>
          <w:szCs w:val="21"/>
          <w:highlight w:val="none"/>
          <w:lang w:val="en-US" w:eastAsia="zh-CN" w:bidi="ar-SA"/>
        </w:rPr>
        <w:t xml:space="preserve">1</w:t>
      </w:r>
      <w:bookmarkEnd w:id="55"/>
      <w:r>
        <w:rPr>
          <w:rFonts w:hint="eastAsia" w:ascii="仿宋" w:hAnsi="仿宋" w:eastAsia="仿宋" w:cs="仿宋"/>
          <w:i w:val="0"/>
          <w:iCs w:val="0"/>
          <w:color w:val="auto"/>
          <w:sz w:val="21"/>
          <w:szCs w:val="21"/>
          <w:highlight w:val="none"/>
          <w:lang w:val="en-US" w:eastAsia="zh-CN" w:bidi="ar-SA"/>
        </w:rPr>
        <w:t xml:space="preserve">、招标方式</w:t>
      </w:r>
      <w:bookmarkEnd w:id="56"/>
      <w:r/>
      <w:bookmarkEnd w:id="57"/>
      <w:r/>
      <w:bookmarkEnd w:id="58"/>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1.1本次招标采取公开招标方式，本招标文件仅适用于招标公告中所述项目。</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59" w:name="_Toc513029205"/>
      <w:r/>
      <w:bookmarkStart w:id="60" w:name="_Toc16938521"/>
      <w:r/>
      <w:bookmarkStart w:id="61" w:name="_Toc20823277"/>
      <w:r>
        <w:rPr>
          <w:rFonts w:hint="eastAsia" w:ascii="仿宋" w:hAnsi="仿宋" w:eastAsia="仿宋" w:cs="仿宋"/>
          <w:i w:val="0"/>
          <w:iCs w:val="0"/>
          <w:color w:val="auto"/>
          <w:sz w:val="21"/>
          <w:szCs w:val="21"/>
          <w:highlight w:val="none"/>
          <w:lang w:val="en-US" w:eastAsia="zh-CN" w:bidi="ar-SA"/>
        </w:rPr>
        <w:t xml:space="preserve">2、合格的投标人</w:t>
      </w:r>
      <w:bookmarkEnd w:id="59"/>
      <w:r/>
      <w:bookmarkEnd w:id="60"/>
      <w:r/>
      <w:bookmarkEnd w:id="61"/>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2.1满足招标公告中供应商的资格要求的规定。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2.2满足本文件实质性要求和条件的规定。</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62" w:name="_Toc16938522"/>
      <w:r/>
      <w:bookmarkStart w:id="63" w:name="_Toc20823278"/>
      <w:r/>
      <w:bookmarkStart w:id="64" w:name="_Toc513029206"/>
      <w:r>
        <w:rPr>
          <w:rFonts w:hint="eastAsia" w:ascii="仿宋" w:hAnsi="仿宋" w:eastAsia="仿宋" w:cs="仿宋"/>
          <w:i w:val="0"/>
          <w:iCs w:val="0"/>
          <w:color w:val="auto"/>
          <w:sz w:val="21"/>
          <w:szCs w:val="21"/>
          <w:highlight w:val="none"/>
          <w:lang w:val="en-US" w:eastAsia="zh-CN" w:bidi="ar-SA"/>
        </w:rPr>
        <w:t xml:space="preserve">3、适用法律</w:t>
      </w:r>
      <w:bookmarkEnd w:id="62"/>
      <w:r/>
      <w:bookmarkEnd w:id="63"/>
      <w:r/>
      <w:bookmarkEnd w:id="64"/>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3.1本次招标及由此产生的合同受中华人民共和国有关的法律法规制约和保护。</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65" w:name="_Toc20823279"/>
      <w:r/>
      <w:bookmarkStart w:id="66" w:name="_Toc513029207"/>
      <w:r/>
      <w:bookmarkStart w:id="67" w:name="_Toc16938523"/>
      <w:r/>
      <w:bookmarkStart w:id="68" w:name="_Toc462564067"/>
      <w:r>
        <w:rPr>
          <w:rFonts w:hint="eastAsia" w:ascii="仿宋" w:hAnsi="仿宋" w:eastAsia="仿宋" w:cs="仿宋"/>
          <w:i w:val="0"/>
          <w:iCs w:val="0"/>
          <w:color w:val="auto"/>
          <w:sz w:val="21"/>
          <w:szCs w:val="21"/>
          <w:highlight w:val="none"/>
          <w:lang w:val="en-US" w:eastAsia="zh-CN" w:bidi="ar-SA"/>
        </w:rPr>
        <w:t xml:space="preserve">4、投标费用</w:t>
      </w:r>
      <w:bookmarkEnd w:id="65"/>
      <w:r/>
      <w:bookmarkEnd w:id="66"/>
      <w:r/>
      <w:bookmarkEnd w:id="67"/>
      <w:r/>
      <w:bookmarkEnd w:id="68"/>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4.1投标人应自行承担所有与参加投标有关的费用，无论投标过程中的做法和结果如何，盐城市大丰区公共资源交易中心（以下简称采购中心）在任何情况下均无义务和责任承担这些费用。</w:t>
      </w:r>
      <w:r/>
    </w:p>
    <w:p>
      <w:pPr>
        <w:ind w:left="0" w:firstLine="420"/>
        <w:jc w:val="both"/>
        <w:pageBreakBefore w:val="0"/>
        <w:spacing w:before="0" w:beforeAutospacing="0" w:after="0" w:afterAutospacing="0" w:line="440" w:lineRule="exact"/>
        <w:widowControl w:val="off"/>
        <w:rPr>
          <w:rFonts w:hint="default"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4.2本次招标采购中心和采购人不收取标书工本费。</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b w:val="0"/>
          <w:bCs/>
          <w:i w:val="0"/>
          <w:iCs w:val="0"/>
          <w:color w:val="auto"/>
          <w:sz w:val="21"/>
          <w:szCs w:val="21"/>
          <w:highlight w:val="none"/>
          <w:lang w:val="en-US" w:eastAsia="zh-CN" w:bidi="ar-SA"/>
        </w:rPr>
        <w:t xml:space="preserve">5、招标文件的约束力</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5.1投标人一旦参加本项目采购活动，即被认为接受了本招标文件的规定和约束。</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69" w:name="_Toc20823281"/>
      <w:r/>
      <w:bookmarkStart w:id="70" w:name="_Toc513029209"/>
      <w:r/>
      <w:bookmarkStart w:id="71" w:name="_Toc16938525"/>
      <w:r/>
      <w:bookmarkStart w:id="72" w:name="_Toc120614215"/>
      <w:r>
        <w:rPr>
          <w:rFonts w:hint="eastAsia" w:ascii="仿宋" w:hAnsi="仿宋" w:eastAsia="仿宋" w:cs="仿宋"/>
          <w:b/>
          <w:i w:val="0"/>
          <w:iCs w:val="0"/>
          <w:color w:val="auto"/>
          <w:sz w:val="21"/>
          <w:szCs w:val="21"/>
          <w:highlight w:val="none"/>
          <w:lang w:val="en-US" w:eastAsia="zh-CN" w:bidi="ar-SA"/>
        </w:rPr>
        <w:t xml:space="preserve">二、招标文件</w:t>
      </w:r>
      <w:bookmarkEnd w:id="69"/>
      <w:r/>
      <w:bookmarkEnd w:id="70"/>
      <w:r/>
      <w:bookmarkEnd w:id="71"/>
      <w:r/>
      <w:bookmarkEnd w:id="72"/>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73" w:name="_Toc513029210"/>
      <w:r/>
      <w:bookmarkStart w:id="74" w:name="_Toc20823282"/>
      <w:r/>
      <w:bookmarkStart w:id="75" w:name="_Toc16938526"/>
      <w:r>
        <w:rPr>
          <w:rFonts w:hint="eastAsia" w:ascii="仿宋" w:hAnsi="仿宋" w:eastAsia="仿宋" w:cs="仿宋"/>
          <w:i w:val="0"/>
          <w:iCs w:val="0"/>
          <w:color w:val="auto"/>
          <w:sz w:val="21"/>
          <w:szCs w:val="21"/>
          <w:highlight w:val="none"/>
          <w:lang w:val="en-US" w:eastAsia="zh-CN" w:bidi="ar-SA"/>
        </w:rPr>
        <w:t xml:space="preserve">6、招标文件构成</w:t>
      </w:r>
      <w:bookmarkEnd w:id="73"/>
      <w:r/>
      <w:bookmarkEnd w:id="74"/>
      <w:r/>
      <w:bookmarkEnd w:id="75"/>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6.1 招标文件由以下部分组成：</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（1）招标公告</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（2）投标人须知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（3）合同文本</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（4）采购需求</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（5）评标方法与评标标准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（6）投标文件格式</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请仔细检查招标文件是否齐全，如有缺漏请立即与采购中心联系解决。</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76" w:name="_Toc20823283"/>
      <w:r/>
      <w:bookmarkStart w:id="77" w:name="_Toc513029211"/>
      <w:r/>
      <w:bookmarkStart w:id="78" w:name="_Toc16938527"/>
      <w:r/>
      <w:bookmarkStart w:id="79" w:name="_Toc462564070"/>
      <w:r>
        <w:rPr>
          <w:rFonts w:hint="eastAsia" w:ascii="仿宋" w:hAnsi="仿宋" w:eastAsia="仿宋" w:cs="仿宋"/>
          <w:i w:val="0"/>
          <w:iCs w:val="0"/>
          <w:color w:val="auto"/>
          <w:sz w:val="21"/>
          <w:szCs w:val="21"/>
          <w:highlight w:val="none"/>
          <w:lang w:val="en-US" w:eastAsia="zh-CN" w:bidi="ar-SA"/>
        </w:rPr>
        <w:t xml:space="preserve">7、招标文件的澄清</w:t>
      </w:r>
      <w:bookmarkEnd w:id="76"/>
      <w:r/>
      <w:bookmarkEnd w:id="77"/>
      <w:r/>
      <w:bookmarkEnd w:id="78"/>
      <w:r/>
      <w:bookmarkEnd w:id="79"/>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7.1任何要求对招标文件进行澄清的投标人，应在投标截止期</w:t>
      </w:r>
      <w:r>
        <w:rPr>
          <w:rFonts w:hint="eastAsia" w:ascii="仿宋" w:hAnsi="仿宋" w:eastAsia="仿宋" w:cs="仿宋"/>
          <w:b/>
          <w:i w:val="0"/>
          <w:iCs w:val="0"/>
          <w:color w:val="auto"/>
          <w:sz w:val="21"/>
          <w:szCs w:val="21"/>
          <w:highlight w:val="none"/>
          <w:lang w:val="en-US" w:eastAsia="zh-CN" w:bidi="ar-SA"/>
        </w:rPr>
        <w:t xml:space="preserve">十日</w:t>
      </w:r>
      <w:r>
        <w:rPr>
          <w:rFonts w:hint="eastAsia" w:ascii="仿宋" w:hAnsi="仿宋" w:eastAsia="仿宋" w:cs="仿宋"/>
          <w:i w:val="0"/>
          <w:iCs w:val="0"/>
          <w:color w:val="auto"/>
          <w:sz w:val="21"/>
          <w:szCs w:val="21"/>
          <w:highlight w:val="none"/>
          <w:lang w:val="en-US" w:eastAsia="zh-CN" w:bidi="ar-SA"/>
        </w:rPr>
        <w:t xml:space="preserve">前按招标公告中的通讯地址，以书面形式通知采购中心。</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80" w:name="_Toc16938528"/>
      <w:r/>
      <w:bookmarkStart w:id="81" w:name="_Toc462564071"/>
      <w:r/>
      <w:bookmarkStart w:id="82" w:name="_Toc513029212"/>
      <w:r/>
      <w:bookmarkStart w:id="83" w:name="_Toc20823284"/>
      <w:r>
        <w:rPr>
          <w:rFonts w:hint="eastAsia" w:ascii="仿宋" w:hAnsi="仿宋" w:eastAsia="仿宋" w:cs="仿宋"/>
          <w:i w:val="0"/>
          <w:iCs w:val="0"/>
          <w:color w:val="auto"/>
          <w:sz w:val="21"/>
          <w:szCs w:val="21"/>
          <w:highlight w:val="none"/>
          <w:lang w:val="en-US" w:eastAsia="zh-CN" w:bidi="ar-SA"/>
        </w:rPr>
        <w:t xml:space="preserve">8、招标文件的修改</w:t>
      </w:r>
      <w:bookmarkEnd w:id="80"/>
      <w:r/>
      <w:bookmarkEnd w:id="81"/>
      <w:r/>
      <w:bookmarkEnd w:id="82"/>
      <w:r/>
      <w:bookmarkEnd w:id="83"/>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8.1在投标截止时间前，采购中心可以对招标文件进行修改。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8.2采购中心有权按照法定的要求推迟投标截止日期和开标日期。</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8.3招标文件的修改将在中国政府采购网</w:t>
      </w:r>
      <w:r>
        <w:rPr>
          <w:rFonts w:hint="eastAsia" w:ascii="仿宋" w:hAnsi="仿宋" w:eastAsia="仿宋" w:cs="仿宋"/>
          <w:i w:val="0"/>
          <w:iCs w:val="0"/>
          <w:caps w:val="0"/>
          <w:color w:val="auto"/>
          <w:spacing w:val="0"/>
          <w:sz w:val="21"/>
          <w:szCs w:val="21"/>
          <w:highlight w:val="none"/>
          <w:shd w:val="clear" w:color="auto" w:fill="ffffff"/>
          <w:lang w:val="en-US" w:eastAsia="zh-CN" w:bidi="ar-SA"/>
        </w:rPr>
        <w:t xml:space="preserve">、</w:t>
      </w:r>
      <w:r>
        <w:rPr>
          <w:rFonts w:hint="eastAsia" w:ascii="仿宋" w:hAnsi="仿宋" w:eastAsia="仿宋" w:cs="仿宋"/>
          <w:i w:val="0"/>
          <w:iCs w:val="0"/>
          <w:color w:val="auto"/>
          <w:sz w:val="21"/>
          <w:szCs w:val="21"/>
          <w:highlight w:val="none"/>
          <w:lang w:val="en-US" w:eastAsia="zh-CN" w:bidi="ar-SA"/>
        </w:rPr>
        <w:t xml:space="preserve">江苏政府采购网、盐城市政府采购网公布，补充文件将作为招标文件的组成部分，并对投标人具有约束力。</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84" w:name="_Toc513029213"/>
      <w:r/>
      <w:bookmarkStart w:id="85" w:name="_Toc120614216"/>
      <w:r/>
      <w:bookmarkStart w:id="86" w:name="_Toc462564072"/>
      <w:r/>
      <w:bookmarkStart w:id="87" w:name="_Toc20823285"/>
      <w:r/>
      <w:bookmarkStart w:id="88" w:name="_Toc16938529"/>
      <w:r>
        <w:rPr>
          <w:rFonts w:hint="eastAsia" w:ascii="仿宋" w:hAnsi="仿宋" w:eastAsia="仿宋" w:cs="仿宋"/>
          <w:b/>
          <w:i w:val="0"/>
          <w:iCs w:val="0"/>
          <w:color w:val="auto"/>
          <w:sz w:val="21"/>
          <w:szCs w:val="21"/>
          <w:highlight w:val="none"/>
          <w:lang w:val="en-US" w:eastAsia="zh-CN" w:bidi="ar-SA"/>
        </w:rPr>
        <w:t xml:space="preserve">三、投标文件的编制</w:t>
      </w:r>
      <w:bookmarkEnd w:id="84"/>
      <w:r/>
      <w:bookmarkEnd w:id="85"/>
      <w:r/>
      <w:bookmarkEnd w:id="86"/>
      <w:r/>
      <w:bookmarkEnd w:id="87"/>
      <w:r/>
      <w:bookmarkEnd w:id="88"/>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89" w:name="_Toc20823286"/>
      <w:r/>
      <w:bookmarkStart w:id="90" w:name="_Toc513029214"/>
      <w:r/>
      <w:bookmarkStart w:id="91" w:name="_Toc462564073"/>
      <w:r/>
      <w:bookmarkStart w:id="92" w:name="_Toc16938530"/>
      <w:r>
        <w:rPr>
          <w:rFonts w:hint="eastAsia" w:ascii="仿宋" w:hAnsi="仿宋" w:eastAsia="仿宋" w:cs="仿宋"/>
          <w:i w:val="0"/>
          <w:iCs w:val="0"/>
          <w:color w:val="auto"/>
          <w:sz w:val="21"/>
          <w:szCs w:val="21"/>
          <w:highlight w:val="none"/>
          <w:lang w:val="en-US" w:eastAsia="zh-CN" w:bidi="ar-SA"/>
        </w:rPr>
        <w:t xml:space="preserve">9、投标文件的语言及度量衡单位</w:t>
      </w:r>
      <w:bookmarkEnd w:id="89"/>
      <w:r/>
      <w:bookmarkEnd w:id="90"/>
      <w:r/>
      <w:bookmarkEnd w:id="91"/>
      <w:r/>
      <w:bookmarkEnd w:id="92"/>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9.1投标人提交的投标文件以及投标人与采购中心就有关投标的所有来往通知、函件和文件均应使用</w:t>
      </w:r>
      <w:r>
        <w:rPr>
          <w:rFonts w:hint="eastAsia" w:ascii="仿宋" w:hAnsi="仿宋" w:eastAsia="仿宋" w:cs="仿宋"/>
          <w:b/>
          <w:i w:val="0"/>
          <w:iCs w:val="0"/>
          <w:color w:val="auto"/>
          <w:sz w:val="21"/>
          <w:szCs w:val="21"/>
          <w:highlight w:val="none"/>
          <w:lang w:val="en-US" w:eastAsia="zh-CN" w:bidi="ar-SA"/>
        </w:rPr>
        <w:t xml:space="preserve">简体中文</w:t>
      </w:r>
      <w:r>
        <w:rPr>
          <w:rFonts w:hint="eastAsia" w:ascii="仿宋" w:hAnsi="仿宋" w:eastAsia="仿宋" w:cs="仿宋"/>
          <w:i w:val="0"/>
          <w:iCs w:val="0"/>
          <w:color w:val="auto"/>
          <w:sz w:val="21"/>
          <w:szCs w:val="21"/>
          <w:highlight w:val="none"/>
          <w:lang w:val="en-US" w:eastAsia="zh-CN" w:bidi="ar-SA"/>
        </w:rPr>
        <w:t xml:space="preserve">。</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9.2除技术性能另有规定外，投标文件所使用的度量衡单位，均须采用国家法定计量单位。</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93" w:name="_Toc462564074"/>
      <w:r/>
      <w:bookmarkStart w:id="94" w:name="_Toc20823287"/>
      <w:r/>
      <w:bookmarkStart w:id="95" w:name="_Toc16938531"/>
      <w:r/>
      <w:bookmarkStart w:id="96" w:name="_Toc513029215"/>
      <w:r>
        <w:rPr>
          <w:rFonts w:hint="eastAsia" w:ascii="仿宋" w:hAnsi="仿宋" w:eastAsia="仿宋" w:cs="仿宋"/>
          <w:i w:val="0"/>
          <w:iCs w:val="0"/>
          <w:color w:val="auto"/>
          <w:sz w:val="21"/>
          <w:szCs w:val="21"/>
          <w:highlight w:val="none"/>
          <w:lang w:val="en-US" w:eastAsia="zh-CN" w:bidi="ar-SA"/>
        </w:rPr>
        <w:t xml:space="preserve">10、投标文件构成</w:t>
      </w:r>
      <w:bookmarkEnd w:id="93"/>
      <w:r/>
      <w:bookmarkEnd w:id="94"/>
      <w:r/>
      <w:bookmarkEnd w:id="95"/>
      <w:r/>
      <w:bookmarkEnd w:id="96"/>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10.1投标人编写的投标文件应包括资格证明文件、符合性证明文件、投标分项报价表、技术要求响应承诺书、商务要求响应承诺书、其他证明文件、投标函、开标一览表等部分。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10.2如标书制作工具中格式和内容与</w:t>
      </w:r>
      <w:r>
        <w:rPr>
          <w:rFonts w:hint="eastAsia" w:ascii="仿宋" w:hAnsi="仿宋" w:eastAsia="仿宋" w:cs="仿宋"/>
          <w:i w:val="0"/>
          <w:iCs w:val="0"/>
          <w:caps w:val="0"/>
          <w:color w:val="auto"/>
          <w:spacing w:val="0"/>
          <w:sz w:val="21"/>
          <w:szCs w:val="21"/>
          <w:highlight w:val="none"/>
          <w:shd w:val="clear" w:color="auto" w:fill="ffffff"/>
          <w:lang w:val="en-US" w:eastAsia="zh-CN" w:bidi="ar-SA"/>
        </w:rPr>
        <w:t xml:space="preserve">“</w:t>
      </w:r>
      <w:r>
        <w:rPr>
          <w:rFonts w:hint="eastAsia" w:ascii="仿宋" w:hAnsi="仿宋" w:eastAsia="仿宋" w:cs="仿宋"/>
          <w:i w:val="0"/>
          <w:iCs w:val="0"/>
          <w:color w:val="auto"/>
          <w:sz w:val="21"/>
          <w:szCs w:val="21"/>
          <w:highlight w:val="none"/>
          <w:lang w:val="en-US" w:eastAsia="zh-CN" w:bidi="ar-SA"/>
        </w:rPr>
        <w:t xml:space="preserve">中国政府采购网”“江苏政府采购网”“盐城市政府采购网”发布的招标文件不一致，请以</w:t>
      </w:r>
      <w:r>
        <w:rPr>
          <w:rFonts w:hint="eastAsia" w:ascii="仿宋" w:hAnsi="仿宋" w:eastAsia="仿宋" w:cs="仿宋"/>
          <w:i w:val="0"/>
          <w:iCs w:val="0"/>
          <w:caps w:val="0"/>
          <w:color w:val="auto"/>
          <w:spacing w:val="0"/>
          <w:sz w:val="21"/>
          <w:szCs w:val="21"/>
          <w:highlight w:val="none"/>
          <w:shd w:val="clear" w:color="auto" w:fill="ffffff"/>
          <w:lang w:val="en-US" w:eastAsia="zh-CN" w:bidi="ar-SA"/>
        </w:rPr>
        <w:t xml:space="preserve">“</w:t>
      </w:r>
      <w:r>
        <w:rPr>
          <w:rFonts w:hint="eastAsia" w:ascii="仿宋" w:hAnsi="仿宋" w:eastAsia="仿宋" w:cs="仿宋"/>
          <w:i w:val="0"/>
          <w:iCs w:val="0"/>
          <w:color w:val="auto"/>
          <w:sz w:val="21"/>
          <w:szCs w:val="21"/>
          <w:highlight w:val="none"/>
          <w:lang w:val="en-US" w:eastAsia="zh-CN" w:bidi="ar-SA"/>
        </w:rPr>
        <w:t xml:space="preserve">中国政府采购网”“江苏政府采购网”“盐城市政府采购网”发布的招标文件为准。</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97" w:name="_Toc513029219"/>
      <w:r/>
      <w:bookmarkStart w:id="98" w:name="_Toc49090509"/>
      <w:r/>
      <w:bookmarkStart w:id="99" w:name="_Toc49090507"/>
      <w:r/>
      <w:bookmarkStart w:id="100" w:name="_Toc14577357"/>
      <w:r/>
      <w:bookmarkStart w:id="101" w:name="_Toc513029216"/>
      <w:r/>
      <w:bookmarkStart w:id="102" w:name="_Toc14577354"/>
      <w:r>
        <w:rPr>
          <w:rFonts w:hint="eastAsia" w:ascii="仿宋" w:hAnsi="仿宋" w:eastAsia="仿宋" w:cs="仿宋"/>
          <w:i w:val="0"/>
          <w:iCs w:val="0"/>
          <w:color w:val="auto"/>
          <w:sz w:val="21"/>
          <w:szCs w:val="21"/>
          <w:highlight w:val="none"/>
          <w:lang w:val="en-US" w:eastAsia="zh-CN" w:bidi="ar-SA"/>
        </w:rPr>
        <w:t xml:space="preserve">11、证明投标人及投标标的符合招标文件规定的文件</w:t>
      </w:r>
      <w:bookmarkEnd w:id="97"/>
      <w:r/>
      <w:bookmarkEnd w:id="98"/>
      <w:r/>
      <w:bookmarkEnd w:id="99"/>
      <w:r/>
      <w:bookmarkEnd w:id="100"/>
      <w:r/>
      <w:bookmarkEnd w:id="101"/>
      <w:r/>
      <w:bookmarkEnd w:id="102"/>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03" w:name="_Toc49090508"/>
      <w:r/>
      <w:bookmarkStart w:id="104" w:name="_Toc14577355"/>
      <w:r>
        <w:rPr>
          <w:rFonts w:hint="eastAsia" w:ascii="仿宋" w:hAnsi="仿宋" w:eastAsia="仿宋" w:cs="仿宋"/>
          <w:i w:val="0"/>
          <w:iCs w:val="0"/>
          <w:color w:val="auto"/>
          <w:sz w:val="21"/>
          <w:szCs w:val="21"/>
          <w:highlight w:val="none"/>
          <w:lang w:val="en-US" w:eastAsia="zh-CN" w:bidi="ar-SA"/>
        </w:rPr>
        <w:t xml:space="preserve">11.1投标人应按照法律、法规、规章和规范性文件以及招标文件要求提交证明文件，证明其及投标标的符合招标文件规定。</w:t>
      </w:r>
      <w:bookmarkEnd w:id="103"/>
      <w:r/>
      <w:bookmarkEnd w:id="104"/>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11.2招标文件对证明文件无明确形式要求的，证明文件可以以文字资料、图纸和数据等形式提交。</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12、投标分项报价表</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12.1投标人应按照招标文件规定格式填报投标分项报价表。</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12.2投标货币。投标文件中的单价和总价无特殊规定的采用人民币报价，以元为单位标注。招标文件中另有规定的按规定执行。</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13、技术要求响应承诺书、商务要求响应承诺书</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13.1投标人需对招标文件中的技术要求与商务要求逐项作出响应或偏离，并说明原因。</w:t>
      </w:r>
      <w:r/>
    </w:p>
    <w:p>
      <w:pPr>
        <w:ind w:left="0" w:firstLine="420"/>
        <w:jc w:val="both"/>
        <w:pageBreakBefore w:val="0"/>
        <w:spacing w:before="0" w:beforeAutospacing="0" w:after="0" w:afterAutospacing="0" w:line="440" w:lineRule="exact"/>
        <w:widowControl w:val="off"/>
        <w:tabs>
          <w:tab w:val="left" w:pos="1036" w:leader="none"/>
        </w:tabs>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13.2投标人可在投标文件中提供认为需要的其他技术文件或说明。</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05" w:name="_Toc49090510"/>
      <w:r/>
      <w:bookmarkStart w:id="106" w:name="_Toc14577359"/>
      <w:r>
        <w:rPr>
          <w:rFonts w:hint="eastAsia" w:ascii="仿宋" w:hAnsi="仿宋" w:eastAsia="仿宋" w:cs="仿宋"/>
          <w:i w:val="0"/>
          <w:iCs w:val="0"/>
          <w:color w:val="auto"/>
          <w:sz w:val="21"/>
          <w:szCs w:val="21"/>
          <w:highlight w:val="none"/>
          <w:lang w:val="en-US" w:eastAsia="zh-CN" w:bidi="ar-SA"/>
        </w:rPr>
        <w:t xml:space="preserve">14、投标函和开标一览表</w:t>
      </w:r>
      <w:bookmarkEnd w:id="105"/>
      <w:r/>
      <w:bookmarkEnd w:id="106"/>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14.1投标人应按照招标文件中提供的格式完整、正确填写投标函、开标一览表。</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i w:val="0"/>
          <w:iCs w:val="0"/>
          <w:color w:val="auto"/>
          <w:sz w:val="21"/>
          <w:szCs w:val="21"/>
          <w:highlight w:val="none"/>
          <w:lang w:val="en-US" w:eastAsia="zh-CN" w:bidi="ar-SA"/>
        </w:rPr>
        <w:t xml:space="preserve">。</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07" w:name="_Toc49090511"/>
      <w:r/>
      <w:bookmarkStart w:id="108" w:name="_Toc14577360"/>
      <w:r>
        <w:rPr>
          <w:rFonts w:hint="eastAsia" w:ascii="仿宋" w:hAnsi="仿宋" w:eastAsia="仿宋" w:cs="仿宋"/>
          <w:i w:val="0"/>
          <w:iCs w:val="0"/>
          <w:color w:val="auto"/>
          <w:sz w:val="21"/>
          <w:szCs w:val="21"/>
          <w:highlight w:val="none"/>
          <w:lang w:val="en-US" w:eastAsia="zh-CN" w:bidi="ar-SA"/>
        </w:rPr>
        <w:t xml:space="preserve">15、投标有效期</w:t>
      </w:r>
      <w:bookmarkEnd w:id="107"/>
      <w:r/>
      <w:bookmarkEnd w:id="108"/>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15.1投标有效期为采购中心规定的开标之日后</w:t>
      </w:r>
      <w:r>
        <w:rPr>
          <w:rFonts w:hint="eastAsia" w:ascii="仿宋" w:hAnsi="仿宋" w:eastAsia="仿宋" w:cs="仿宋"/>
          <w:b/>
          <w:i w:val="0"/>
          <w:iCs w:val="0"/>
          <w:color w:val="auto"/>
          <w:sz w:val="21"/>
          <w:szCs w:val="21"/>
          <w:highlight w:val="none"/>
          <w:u w:val="single"/>
          <w:lang w:val="en-US" w:eastAsia="zh-CN" w:bidi="ar-SA"/>
        </w:rPr>
        <w:t xml:space="preserve">九十（90）天</w:t>
      </w:r>
      <w:r>
        <w:rPr>
          <w:rFonts w:hint="eastAsia" w:ascii="仿宋" w:hAnsi="仿宋" w:eastAsia="仿宋" w:cs="仿宋"/>
          <w:i w:val="0"/>
          <w:iCs w:val="0"/>
          <w:color w:val="auto"/>
          <w:sz w:val="21"/>
          <w:szCs w:val="21"/>
          <w:highlight w:val="none"/>
          <w:lang w:val="en-US" w:eastAsia="zh-CN" w:bidi="ar-SA"/>
        </w:rPr>
        <w:t xml:space="preserve">。投标有效期比规定短的将被视为未实质性响应招标文件而予以拒绝。</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16、投标有效期的延长</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09" w:name="_Toc120614217"/>
      <w:r/>
      <w:bookmarkStart w:id="110" w:name="_Toc513029224"/>
      <w:r/>
      <w:bookmarkStart w:id="111" w:name="_Toc20823296"/>
      <w:r/>
      <w:bookmarkStart w:id="112" w:name="_Toc16938540"/>
      <w:r>
        <w:rPr>
          <w:rFonts w:hint="eastAsia" w:ascii="仿宋" w:hAnsi="仿宋" w:eastAsia="仿宋" w:cs="仿宋"/>
          <w:b/>
          <w:i w:val="0"/>
          <w:iCs w:val="0"/>
          <w:color w:val="auto"/>
          <w:sz w:val="21"/>
          <w:szCs w:val="21"/>
          <w:highlight w:val="none"/>
          <w:lang w:val="en-US" w:eastAsia="zh-CN" w:bidi="ar-SA"/>
        </w:rPr>
        <w:t xml:space="preserve">四、投标文件的递交</w:t>
      </w:r>
      <w:bookmarkEnd w:id="109"/>
      <w:r/>
      <w:bookmarkEnd w:id="110"/>
      <w:r/>
      <w:bookmarkEnd w:id="111"/>
      <w:r/>
      <w:bookmarkEnd w:id="112"/>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13" w:name="_Toc513029225"/>
      <w:r/>
      <w:bookmarkStart w:id="114" w:name="_Toc16938541"/>
      <w:r/>
      <w:bookmarkStart w:id="115" w:name="_Toc462564084"/>
      <w:r/>
      <w:bookmarkStart w:id="116" w:name="_Toc20823297"/>
      <w:r>
        <w:rPr>
          <w:rFonts w:hint="eastAsia" w:ascii="仿宋" w:hAnsi="仿宋" w:eastAsia="仿宋" w:cs="仿宋"/>
          <w:i w:val="0"/>
          <w:iCs w:val="0"/>
          <w:color w:val="auto"/>
          <w:sz w:val="21"/>
          <w:szCs w:val="21"/>
          <w:highlight w:val="none"/>
          <w:lang w:val="en-US" w:eastAsia="zh-CN" w:bidi="ar-SA"/>
        </w:rPr>
        <w:t xml:space="preserve">17、投标文件</w:t>
      </w:r>
      <w:bookmarkEnd w:id="113"/>
      <w:r/>
      <w:bookmarkEnd w:id="114"/>
      <w:r/>
      <w:bookmarkEnd w:id="115"/>
      <w:r/>
      <w:bookmarkEnd w:id="116"/>
      <w:r>
        <w:rPr>
          <w:rFonts w:hint="eastAsia" w:ascii="仿宋" w:hAnsi="仿宋" w:eastAsia="仿宋" w:cs="仿宋"/>
          <w:i w:val="0"/>
          <w:iCs w:val="0"/>
          <w:color w:val="auto"/>
          <w:sz w:val="21"/>
          <w:szCs w:val="21"/>
          <w:highlight w:val="none"/>
          <w:lang w:val="en-US" w:eastAsia="zh-CN" w:bidi="ar-SA"/>
        </w:rPr>
        <w:t xml:space="preserve">的递交</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17.1 电子投标文件的递交</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投标人应当按照《操作手册》规定，在投标截止时间前制作并上传电子投标文件。</w:t>
      </w:r>
      <w:bookmarkStart w:id="117" w:name="_Toc20823298"/>
      <w:r/>
      <w:bookmarkEnd w:id="117"/>
      <w:r/>
      <w:bookmarkStart w:id="118" w:name="_Toc16938542"/>
      <w:r/>
      <w:bookmarkEnd w:id="118"/>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18、投标截止时间</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u w:val="none"/>
          <w:lang w:val="en-US" w:eastAsia="zh-CN" w:bidi="ar-SA"/>
        </w:rPr>
        <w:t xml:space="preserve">18.1投标人上传电子投标文件的时间不得迟于招标公告中规定的投标截止时间。</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投标人应充分考虑到网络环境、网络带宽等风险因素，如因投标人自身原因造成的电子投标文件上传不成功的按照本招标文件第二章第26.1.2条 规定做无效投标处理。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18.2采购中心可以按照规定，通过修改招标文件酌情延长投标截止时间，在此情况下，投标人的所有权利和义务以及投标人受制的截止时间均应以延长后新的截止时间为准。</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19" w:name="_Toc20823299"/>
      <w:r/>
      <w:bookmarkStart w:id="120" w:name="_Toc513029227"/>
      <w:r/>
      <w:bookmarkStart w:id="121" w:name="_Toc16938543"/>
      <w:r>
        <w:rPr>
          <w:rFonts w:hint="eastAsia" w:ascii="仿宋" w:hAnsi="仿宋" w:eastAsia="仿宋" w:cs="仿宋"/>
          <w:i w:val="0"/>
          <w:iCs w:val="0"/>
          <w:color w:val="auto"/>
          <w:sz w:val="21"/>
          <w:szCs w:val="21"/>
          <w:highlight w:val="none"/>
          <w:lang w:val="en-US" w:eastAsia="zh-CN" w:bidi="ar-SA"/>
        </w:rPr>
        <w:t xml:space="preserve">19、投标文件</w:t>
      </w:r>
      <w:bookmarkEnd w:id="119"/>
      <w:r/>
      <w:bookmarkEnd w:id="120"/>
      <w:r/>
      <w:bookmarkEnd w:id="121"/>
      <w:r>
        <w:rPr>
          <w:rFonts w:hint="eastAsia" w:ascii="仿宋" w:hAnsi="仿宋" w:eastAsia="仿宋" w:cs="仿宋"/>
          <w:i w:val="0"/>
          <w:iCs w:val="0"/>
          <w:color w:val="auto"/>
          <w:sz w:val="21"/>
          <w:szCs w:val="21"/>
          <w:highlight w:val="none"/>
          <w:lang w:val="en-US" w:eastAsia="zh-CN" w:bidi="ar-SA"/>
        </w:rPr>
        <w:t xml:space="preserve">的拒收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19.1采购中心拒绝接收在其规定的投标截止时间后上传的任何投标文件。</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22" w:name="_Toc20823300"/>
      <w:r/>
      <w:bookmarkStart w:id="123" w:name="_Toc513029228"/>
      <w:r/>
      <w:bookmarkStart w:id="124" w:name="_Toc16938544"/>
      <w:r>
        <w:rPr>
          <w:rFonts w:hint="eastAsia" w:ascii="仿宋" w:hAnsi="仿宋" w:eastAsia="仿宋" w:cs="仿宋"/>
          <w:i w:val="0"/>
          <w:iCs w:val="0"/>
          <w:color w:val="auto"/>
          <w:sz w:val="21"/>
          <w:szCs w:val="21"/>
          <w:highlight w:val="none"/>
          <w:lang w:val="en-US" w:eastAsia="zh-CN" w:bidi="ar-SA"/>
        </w:rPr>
        <w:t xml:space="preserve">20、投标文件的撤回和修改</w:t>
      </w:r>
      <w:bookmarkEnd w:id="122"/>
      <w:r/>
      <w:bookmarkEnd w:id="123"/>
      <w:r/>
      <w:bookmarkEnd w:id="124"/>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20.1投标文件的撤回</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20.1.1电子投标文件的撤回</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投标人可在投标截止时间前，撤回其电子投标文件，具体操作方法见《操作手册》。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20.1.2投标人撤回电子投标文件，则认为其不再参与本项目投标活动。</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20.2 投标文件的修改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20.2.1投标人可在投标截止时间前，对其电子投标文件进行修改，具体操作方法见《操作手册》。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20.2.2在投标截止时间之后，投标人不得对其电子投标文件作任何修改。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20.3在投标截止时间至招标文件中规定的投标有效期满之间的这段时间内，投标人不得撤回其投标。</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25" w:name="_Toc20823301"/>
      <w:r/>
      <w:bookmarkStart w:id="126" w:name="_Toc120614218"/>
      <w:r/>
      <w:bookmarkStart w:id="127" w:name="_Toc16938545"/>
      <w:r/>
      <w:bookmarkStart w:id="128" w:name="_Toc513029229"/>
      <w:r>
        <w:rPr>
          <w:rFonts w:hint="eastAsia" w:ascii="仿宋" w:hAnsi="仿宋" w:eastAsia="仿宋" w:cs="仿宋"/>
          <w:b/>
          <w:i w:val="0"/>
          <w:iCs w:val="0"/>
          <w:color w:val="auto"/>
          <w:sz w:val="21"/>
          <w:szCs w:val="21"/>
          <w:highlight w:val="none"/>
          <w:lang w:val="en-US" w:eastAsia="zh-CN" w:bidi="ar-SA"/>
        </w:rPr>
        <w:t xml:space="preserve">五、开标与评标</w:t>
      </w:r>
      <w:bookmarkEnd w:id="125"/>
      <w:r/>
      <w:bookmarkEnd w:id="126"/>
      <w:r/>
      <w:bookmarkEnd w:id="127"/>
      <w:r/>
      <w:bookmarkEnd w:id="128"/>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29" w:name="_Toc16938546"/>
      <w:r/>
      <w:bookmarkStart w:id="130" w:name="_Toc20823302"/>
      <w:r/>
      <w:bookmarkStart w:id="131" w:name="_Toc513029230"/>
      <w:r>
        <w:rPr>
          <w:rFonts w:hint="eastAsia" w:ascii="仿宋" w:hAnsi="仿宋" w:eastAsia="仿宋" w:cs="仿宋"/>
          <w:i w:val="0"/>
          <w:iCs w:val="0"/>
          <w:color w:val="auto"/>
          <w:sz w:val="21"/>
          <w:szCs w:val="21"/>
          <w:highlight w:val="none"/>
          <w:lang w:val="en-US" w:eastAsia="zh-CN" w:bidi="ar-SA"/>
        </w:rPr>
        <w:t xml:space="preserve">21、开标</w:t>
      </w:r>
      <w:bookmarkEnd w:id="129"/>
      <w:r/>
      <w:bookmarkEnd w:id="130"/>
      <w:r/>
      <w:bookmarkEnd w:id="131"/>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21.1采购中心将在招标公告中规定的时间和地点组织公开开标。投标人应当按照《操作手册》规定，参加开标活动和在苏采云系统规定的时间内对投标文件进行解密。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21.2开标仪式由采购中心组织。苏采云系统将自动对项目进行开标，并宣布各投标人名称和投标价格。</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21.3投标人在开标过程中涉及到的投标文件解密、开标结果确认等工作，应按照《操作手册》规定执行。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21.4投标人如果对开标过程和开标记录有疑义，应当根据《操作手册》规定提出，如苏采云系统中《开标记录表》宣布后5分钟内未提出的，视同认可开标结果。</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32" w:name="_Toc513029231"/>
      <w:r/>
      <w:bookmarkStart w:id="133" w:name="_Toc20823303"/>
      <w:r/>
      <w:bookmarkStart w:id="134" w:name="_Toc16938547"/>
      <w:r>
        <w:rPr>
          <w:rFonts w:hint="eastAsia" w:ascii="仿宋" w:hAnsi="仿宋" w:eastAsia="仿宋" w:cs="仿宋"/>
          <w:i w:val="0"/>
          <w:iCs w:val="0"/>
          <w:color w:val="auto"/>
          <w:sz w:val="21"/>
          <w:szCs w:val="21"/>
          <w:highlight w:val="none"/>
          <w:lang w:val="en-US" w:eastAsia="zh-CN" w:bidi="ar-SA"/>
        </w:rPr>
        <w:t xml:space="preserve">22、评标委员会</w:t>
      </w:r>
      <w:bookmarkEnd w:id="132"/>
      <w:r/>
      <w:bookmarkEnd w:id="133"/>
      <w:r/>
      <w:bookmarkEnd w:id="134"/>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22.1开标后，采购中心将立即组织评标委员会（以下简称评委会）进行评标。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22.2评委会由采购人代表和有关技术、经济等方面的专家组成，且人员构成符合政府采购有关规定。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22.3评委会独立工作，负责评审所有投标文件并确定中标候选人。</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23、评标过程的保密与公正</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23.1凡是与审查、澄清、评价和比较投标的有关资料以及授标建议等，采购人、评委、采购中心均不得向投标人或与评标无关的其他人员透露。</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23.2在评标过程中，投标人不得以任何行为影响评标过程，否则其投标文件将被作为无效投标文件。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23.</w:t>
      </w:r>
      <w:r>
        <w:rPr>
          <w:rFonts w:hint="eastAsia" w:ascii="仿宋" w:hAnsi="仿宋" w:eastAsia="仿宋" w:cs="仿宋"/>
          <w:i w:val="0"/>
          <w:iCs w:val="0"/>
          <w:color w:val="auto"/>
          <w:sz w:val="21"/>
          <w:szCs w:val="21"/>
          <w:highlight w:val="none"/>
          <w:lang w:val="en-US" w:eastAsia="zh-CN" w:bidi="ar-SA"/>
        </w:rPr>
        <w:t xml:space="preserve">3采购中心和评标委员会不向未中标的投标人解释未中标原因，也不公布评标过程中的相关细节。</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23.4采用综合评分法的项目，未中标的</w:t>
      </w:r>
      <w:r>
        <w:rPr>
          <w:rFonts w:hint="eastAsia" w:ascii="仿宋" w:hAnsi="仿宋" w:eastAsia="仿宋" w:cs="仿宋"/>
          <w:i w:val="0"/>
          <w:iCs w:val="0"/>
          <w:color w:val="auto"/>
          <w:sz w:val="21"/>
          <w:szCs w:val="21"/>
          <w:highlight w:val="none"/>
          <w:lang w:val="en-US" w:eastAsia="zh-CN" w:bidi="ar-SA"/>
        </w:rPr>
        <w:t xml:space="preserve">投标人可于中标结果公告期限届满之日起通过苏采云系统查看自己的评审得分及排序情况。</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35" w:name="_Toc513029232"/>
      <w:r/>
      <w:bookmarkStart w:id="136" w:name="_Toc20823304"/>
      <w:r/>
      <w:bookmarkStart w:id="137" w:name="_Toc16938548"/>
      <w:r>
        <w:rPr>
          <w:rFonts w:hint="eastAsia" w:ascii="仿宋" w:hAnsi="仿宋" w:eastAsia="仿宋" w:cs="仿宋"/>
          <w:i w:val="0"/>
          <w:iCs w:val="0"/>
          <w:color w:val="auto"/>
          <w:sz w:val="21"/>
          <w:szCs w:val="21"/>
          <w:highlight w:val="none"/>
          <w:lang w:val="en-US" w:eastAsia="zh-CN" w:bidi="ar-SA"/>
        </w:rPr>
        <w:t xml:space="preserve">24、投标文件的澄清</w:t>
      </w:r>
      <w:bookmarkEnd w:id="135"/>
      <w:r/>
      <w:bookmarkEnd w:id="136"/>
      <w:r/>
      <w:bookmarkEnd w:id="137"/>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24.1评标期间，评委会对投标文件中含义不明确、同类问题表述不一致或者有明显文字和计算错误的内容 ，有权要求投标人作出必要的澄清、说明或者补正。</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投标人的澄清、说明或者补正不得超出投标文件的范围或者改变投标文件的实质性内容。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评标委员会并非对每个投标人都做澄清要求。</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仿宋" w:hAnsi="仿宋" w:eastAsia="仿宋" w:cs="仿宋"/>
          <w:i w:val="0"/>
          <w:iCs w:val="0"/>
          <w:color w:val="auto"/>
          <w:sz w:val="21"/>
          <w:szCs w:val="21"/>
          <w:highlight w:val="none"/>
          <w:lang w:val="en-US" w:eastAsia="zh-CN" w:bidi="ar-SA"/>
        </w:rPr>
        <w:t xml:space="preserve">投标文件的补充部分，具体操作方式见《操作手册》。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24.3接到评委会澄清、说明和补正要求的投标人如未按规定作出澄清、说明和补正，其风险由投标人自行承担。</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38" w:name="_Toc20823305"/>
      <w:r/>
      <w:bookmarkStart w:id="139" w:name="_Toc16938549"/>
      <w:r/>
      <w:bookmarkStart w:id="140" w:name="_Toc513029233"/>
      <w:r>
        <w:rPr>
          <w:rFonts w:hint="eastAsia" w:ascii="仿宋" w:hAnsi="仿宋" w:eastAsia="仿宋" w:cs="仿宋"/>
          <w:i w:val="0"/>
          <w:iCs w:val="0"/>
          <w:color w:val="auto"/>
          <w:sz w:val="21"/>
          <w:szCs w:val="21"/>
          <w:highlight w:val="none"/>
          <w:lang w:val="en-US" w:eastAsia="zh-CN" w:bidi="ar-SA"/>
        </w:rPr>
        <w:t xml:space="preserve">25、对投标文件的初审</w:t>
      </w:r>
      <w:bookmarkEnd w:id="138"/>
      <w:r/>
      <w:bookmarkEnd w:id="139"/>
      <w:r/>
      <w:bookmarkEnd w:id="140"/>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25.1投标文件初审分为资格审查和符合性审查。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采购人在进行资格性审查的同时，将在“信用中国”网站（www.creditchina.gov.cn）查询投标人的信用记录，以确定投标人是否具备投标资格,查询结果留存并归档。</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25.1.3未通过资格审查或符合性审查的投标人，采购中心将在苏采云系统中告知未通过资格审查或符合性审查的原因，评标结束后，采购中心将不再告知</w:t>
      </w:r>
      <w:r>
        <w:rPr>
          <w:rFonts w:hint="eastAsia" w:ascii="仿宋" w:hAnsi="仿宋" w:eastAsia="仿宋" w:cs="仿宋"/>
          <w:i w:val="0"/>
          <w:iCs w:val="0"/>
          <w:color w:val="auto"/>
          <w:sz w:val="21"/>
          <w:szCs w:val="21"/>
          <w:highlight w:val="none"/>
          <w:lang w:val="en-US" w:eastAsia="zh-CN" w:bidi="ar-SA"/>
        </w:rPr>
        <w:t xml:space="preserve">未通过资格审查和符合性审查的原因。</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25.4评委会将对确定为实质性响应的投标进行进一步审核，确定其是否有计算上或累加上的算术错误，修正错误的原则如下：</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（1）投标文件中开标一览表内容与投标文件中相应内容不一致的，以开标一览表为准。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（2）大写金额和小写金额不一致的，以大写金额为准。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（3）单价金额小数点或者百分比有明显错位的，以开标一览表的总价为准，并修改单价。</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（4）总价金额与按单价汇总金额不一致的，以单价金额计算结果为准。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同时出现两种以上错误的，按照前款规定的顺序修正。</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41" w:name="_Toc513029234"/>
      <w:r/>
      <w:bookmarkStart w:id="142" w:name="_Toc16938550"/>
      <w:r/>
      <w:bookmarkStart w:id="143" w:name="_Toc20823306"/>
      <w:r>
        <w:rPr>
          <w:rFonts w:hint="eastAsia" w:ascii="仿宋" w:hAnsi="仿宋" w:eastAsia="仿宋" w:cs="仿宋"/>
          <w:i w:val="0"/>
          <w:iCs w:val="0"/>
          <w:color w:val="auto"/>
          <w:sz w:val="21"/>
          <w:szCs w:val="21"/>
          <w:highlight w:val="none"/>
          <w:lang w:val="en-US" w:eastAsia="zh-CN" w:bidi="ar-SA"/>
        </w:rPr>
        <w:t xml:space="preserve">25.6投标人在开、评标全过程中应保持通信畅通，及时登录苏采云系统查阅、答复相关信息，并安排专人与采购中心及评标委员会联系。</w:t>
      </w:r>
      <w:bookmarkEnd w:id="141"/>
      <w:r/>
      <w:bookmarkEnd w:id="142"/>
      <w:r/>
      <w:bookmarkEnd w:id="143"/>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26、无效投标条款和废标条款</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44" w:name="_Toc20823307"/>
      <w:r/>
      <w:bookmarkStart w:id="145" w:name="_Toc16938551"/>
      <w:r/>
      <w:bookmarkStart w:id="146" w:name="_Toc513029235"/>
      <w:r>
        <w:rPr>
          <w:rFonts w:hint="eastAsia" w:ascii="仿宋" w:hAnsi="仿宋" w:eastAsia="仿宋" w:cs="仿宋"/>
          <w:i w:val="0"/>
          <w:iCs w:val="0"/>
          <w:color w:val="auto"/>
          <w:sz w:val="21"/>
          <w:szCs w:val="21"/>
          <w:highlight w:val="none"/>
          <w:lang w:val="en-US" w:eastAsia="zh-CN" w:bidi="ar-SA"/>
        </w:rPr>
        <w:t xml:space="preserve">26.1无效投标条款</w:t>
      </w:r>
      <w:bookmarkEnd w:id="144"/>
      <w:r/>
      <w:bookmarkEnd w:id="145"/>
      <w:r/>
      <w:bookmarkEnd w:id="146"/>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26.1.1投标人在苏采云系统规定的时间内未成功解密电子投标文件的。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26.1.2投标人未按照招标文件要求上传电子投标文件的。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26.1.3同一投标人提交两个（含两个）以上不同的投标报价的。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26.1.4投标人不具备招标文件中规定资格要求的。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26.1.5投标人的报价超过了采购预算或最高限价的。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26.1.6未通过符合性审查的。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26.1.7不符合招标文件中规定的实质性要求和条件的</w:t>
      </w:r>
      <w:r>
        <w:rPr>
          <w:rFonts w:hint="eastAsia" w:ascii="仿宋" w:hAnsi="仿宋" w:eastAsia="仿宋" w:cs="仿宋"/>
          <w:i w:val="0"/>
          <w:iCs w:val="0"/>
          <w:color w:val="auto"/>
          <w:sz w:val="21"/>
          <w:szCs w:val="21"/>
          <w:highlight w:val="none"/>
          <w:u w:val="none"/>
          <w:lang w:val="en-US" w:eastAsia="zh-CN" w:bidi="ar-SA"/>
        </w:rPr>
        <w:t xml:space="preserve">。</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26.1.9投标文件含有采购人不能接受的附加条件的。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26.1.10</w:t>
      </w:r>
      <w:r>
        <w:rPr>
          <w:rFonts w:hint="eastAsia" w:ascii="仿宋" w:hAnsi="仿宋" w:eastAsia="仿宋" w:cs="仿宋"/>
          <w:i w:val="0"/>
          <w:iCs w:val="0"/>
          <w:color w:val="auto"/>
          <w:sz w:val="21"/>
          <w:szCs w:val="21"/>
          <w:highlight w:val="none"/>
          <w:lang w:val="en-US" w:eastAsia="zh-CN" w:bidi="ar-SA"/>
        </w:rPr>
        <w:t xml:space="preserve">投标人不能证明其报价合理性的，评标委员会应当将其作为无效投标处理。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（一）评审过程中出现下列情形之一的，评标委员会应当启动异常低价投标审查程序：</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1.投标报价低于采购项目预算50% 的，即投标报价&lt;采购项目预算×50%；</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2.投标报价低于采购项目最高限价45% 的，即投标报价&lt;采购项目最高限价×45%；</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3.评标委员会认定的供应商报价过低、有可能影响产品质量或者不能诚信履约的其他情形。</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yellow"/>
          <w:lang w:val="en-US" w:eastAsia="zh-CN" w:bidi="ar-SA"/>
        </w:rPr>
      </w:pPr>
      <w:r>
        <w:rPr>
          <w:rFonts w:hint="eastAsia" w:ascii="仿宋" w:hAnsi="仿宋" w:eastAsia="仿宋" w:cs="仿宋"/>
          <w:i w:val="0"/>
          <w:iCs w:val="0"/>
          <w:color w:val="auto"/>
          <w:sz w:val="21"/>
          <w:szCs w:val="21"/>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26.1.11投标文件未按照招标文件要求加盖CA电子公章的。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26.1.12其他法律、法规及本招标文件规定的属无效投标的情形。</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26.2废标条款</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26.2.1符合专业条件的供应商或者对招标文件作实质响应的供应商不足三家的。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26.2.2出现影响采购公正的违法、违规行为的。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26.2.3因重大变故，采购任务取消的。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26.2.4评标委员会认定招标文件存在歧义、重大缺陷导致评审工作无法进行。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26.2.5因苏采云系统系统故障原因造成开标不成功的。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26.3 投标截止时间结束后参加投标的供应商不足三家的处理：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26.3.1如出现投标截止时间结束后参加投标的供应商或者在评标期间对招标文件做出实质响应的供应商不足三家情况，按政府采购相关规定执行。</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47" w:name="_Toc120614219"/>
      <w:r>
        <w:rPr>
          <w:rFonts w:hint="eastAsia" w:ascii="仿宋" w:hAnsi="仿宋" w:eastAsia="仿宋" w:cs="仿宋"/>
          <w:b/>
          <w:i w:val="0"/>
          <w:iCs w:val="0"/>
          <w:color w:val="auto"/>
          <w:sz w:val="21"/>
          <w:szCs w:val="21"/>
          <w:highlight w:val="none"/>
          <w:lang w:val="en-US" w:eastAsia="zh-CN" w:bidi="ar-SA"/>
        </w:rPr>
        <w:t xml:space="preserve">六、定标</w:t>
      </w:r>
      <w:bookmarkEnd w:id="147"/>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48" w:name="_Toc20823310"/>
      <w:r/>
      <w:bookmarkStart w:id="149" w:name="_Toc513029238"/>
      <w:r/>
      <w:bookmarkStart w:id="150" w:name="_Toc16938554"/>
      <w:r>
        <w:rPr>
          <w:rFonts w:hint="eastAsia" w:ascii="仿宋" w:hAnsi="仿宋" w:eastAsia="仿宋" w:cs="仿宋"/>
          <w:i w:val="0"/>
          <w:iCs w:val="0"/>
          <w:color w:val="auto"/>
          <w:sz w:val="21"/>
          <w:szCs w:val="21"/>
          <w:highlight w:val="none"/>
          <w:lang w:val="en-US" w:eastAsia="zh-CN" w:bidi="ar-SA"/>
        </w:rPr>
        <w:t xml:space="preserve">27、</w:t>
      </w:r>
      <w:bookmarkEnd w:id="148"/>
      <w:r>
        <w:rPr>
          <w:rFonts w:hint="eastAsia" w:ascii="仿宋" w:hAnsi="仿宋" w:eastAsia="仿宋" w:cs="仿宋"/>
          <w:i w:val="0"/>
          <w:iCs w:val="0"/>
          <w:color w:val="auto"/>
          <w:sz w:val="21"/>
          <w:szCs w:val="21"/>
          <w:highlight w:val="none"/>
          <w:lang w:val="en-US" w:eastAsia="zh-CN" w:bidi="ar-SA"/>
        </w:rPr>
        <w:t xml:space="preserve">确定</w:t>
      </w:r>
      <w:bookmarkEnd w:id="149"/>
      <w:r/>
      <w:bookmarkEnd w:id="150"/>
      <w:r>
        <w:rPr>
          <w:rFonts w:hint="eastAsia" w:ascii="仿宋" w:hAnsi="仿宋" w:eastAsia="仿宋" w:cs="仿宋"/>
          <w:i w:val="0"/>
          <w:iCs w:val="0"/>
          <w:color w:val="auto"/>
          <w:sz w:val="21"/>
          <w:szCs w:val="21"/>
          <w:highlight w:val="none"/>
          <w:lang w:val="en-US" w:eastAsia="zh-CN" w:bidi="ar-SA"/>
        </w:rPr>
        <w:t xml:space="preserve">中标单位</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27.1中标候选人的选取原则和数量见招标文件第五章规定。 </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27.2采购人应根据评委会推荐的中标候选人确定中标人。</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27.3采购中心将在“中国政府采购网”“江苏政府采购网”“盐城市政府采购网”发布中标公告，公告期限为1个工作日。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27.4若有充分证据证明，中标人出现下列情况之一的，一经查实，将被取消中标资格：</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27.4.1提供虚假材料谋取中标的。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27.4.2向采购人、采购中心行贿或者提供其他不正当利益的。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27.4.3属于本文件规定的无效条件，但在评标过程中又未被评委会发现的。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27.4.4与采购人或者其他供应商恶意串通的。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27.4.5采取不正当手段诋毁、排挤其他供应商的。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51" w:name="_Toc200451960"/>
      <w:r>
        <w:rPr>
          <w:rFonts w:hint="eastAsia" w:ascii="仿宋" w:hAnsi="仿宋" w:eastAsia="仿宋" w:cs="仿宋"/>
          <w:i w:val="0"/>
          <w:iCs w:val="0"/>
          <w:color w:val="auto"/>
          <w:sz w:val="21"/>
          <w:szCs w:val="21"/>
          <w:highlight w:val="none"/>
          <w:lang w:val="en-US" w:eastAsia="zh-CN" w:bidi="ar-SA"/>
        </w:rPr>
        <w:t xml:space="preserve">27.5 有下列情形之一的，视为投标人串通投标，投标无效：</w:t>
      </w:r>
      <w:bookmarkEnd w:id="151"/>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27.5.1不同投标人的投标文件由同一单位或者个人编制。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27.5.2不同投标人委托同一单位或者个人办理投标事宜。</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27.5.3不同投标人的投标文件载明的项目管理成员或者联系人员为同一人。</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27.5.4不同投标人的投标文件异常一致或者投标报价呈规律性差异。</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28、质疑处理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28.1提出质疑的供应商应当是参与所质疑项目采购活动的供应商。潜在供应商依法获取其可质疑的采购文件的，可以对采购文件提出质疑。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28.2.1对可以质疑的采购文件提出质疑的，为收到采购文件之日或者采购文件公告期限届满之日；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28.2.2对采购过程提出质疑的，为各采购程序环节结束之日；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28.2.3对中标或者成交结果提出质疑的，为中标或者成交结果公告期限届满之日。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20"/>
        <w:jc w:val="left"/>
        <w:pageBreakBefore w:val="0"/>
        <w:spacing w:line="440" w:lineRule="exact"/>
        <w:widowControl w:val="off"/>
        <w:tabs>
          <w:tab w:val="left" w:pos="1331" w:leader="none"/>
        </w:tabs>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采购中心及采购人只接收以纸质原件形式送达的质疑,采购人和采购中心不接受未填写快递运单的快件。质疑接收部门为盐城市大丰区公共资源交易中心采购科，联系地址：盐城市大丰区飞达东路100号（丰华国际大厦5楼），联系电话：0515-83927229。</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28.5 以下情形的质疑不予受理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28.5.1内容不符合《政府采购质疑和投诉办法》第十二条规定的质疑。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28.5.2超出政府采购法定期限的质疑。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28.5.3以传真、电子邮件等方式递交的非原件形式的质疑。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28.5.4未参加投标活动的供应商或在投标活动中自身权益未受到损害的供应商所提出的质疑。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28.5.5供应商组成联合体参加投标，联合体中任何一方或多方未按要求签字、盖章、加盖公章的质疑。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29、中标通知书</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29.l中标结果确定后，采购中心将向中标人发</w:t>
      </w:r>
      <w:r>
        <w:rPr>
          <w:rFonts w:hint="eastAsia" w:ascii="仿宋" w:hAnsi="仿宋" w:eastAsia="仿宋" w:cs="仿宋"/>
          <w:i w:val="0"/>
          <w:iCs w:val="0"/>
          <w:color w:val="auto"/>
          <w:sz w:val="21"/>
          <w:szCs w:val="21"/>
          <w:highlight w:val="none"/>
          <w:lang w:val="en-US" w:eastAsia="zh-CN" w:bidi="ar-SA"/>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29.2中标通知书将是合同的一个组成部分。对采购人和中标人均具有法律</w:t>
      </w:r>
      <w:r>
        <w:rPr>
          <w:rFonts w:hint="eastAsia" w:ascii="仿宋" w:hAnsi="仿宋" w:eastAsia="仿宋" w:cs="仿宋"/>
          <w:i w:val="0"/>
          <w:iCs w:val="0"/>
          <w:color w:val="auto"/>
          <w:sz w:val="21"/>
          <w:szCs w:val="21"/>
          <w:highlight w:val="none"/>
          <w:lang w:val="en-US" w:eastAsia="zh-CN" w:bidi="ar-SA"/>
        </w:rPr>
        <w:t xml:space="preserve">效力。中标通知书发出后，采购人改变中标结果的，或者中标人放弃中标项目的，应当依法承担法律责任。</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52" w:name="_Toc20823308"/>
      <w:r/>
      <w:bookmarkStart w:id="153" w:name="_Toc513029236"/>
      <w:r/>
      <w:bookmarkStart w:id="154" w:name="_Toc16938552"/>
      <w:r/>
      <w:bookmarkStart w:id="155" w:name="_Toc120614220"/>
      <w:r>
        <w:rPr>
          <w:rFonts w:hint="eastAsia" w:ascii="仿宋" w:hAnsi="仿宋" w:eastAsia="仿宋" w:cs="仿宋"/>
          <w:b/>
          <w:i w:val="0"/>
          <w:iCs w:val="0"/>
          <w:color w:val="auto"/>
          <w:sz w:val="21"/>
          <w:szCs w:val="21"/>
          <w:highlight w:val="none"/>
          <w:lang w:val="en-US" w:eastAsia="zh-CN" w:bidi="ar-SA"/>
        </w:rPr>
        <w:t xml:space="preserve">七、授予合同</w:t>
      </w:r>
      <w:bookmarkEnd w:id="152"/>
      <w:r/>
      <w:bookmarkEnd w:id="153"/>
      <w:r/>
      <w:bookmarkEnd w:id="154"/>
      <w:r/>
      <w:bookmarkEnd w:id="155"/>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56" w:name="_Toc16938553"/>
      <w:r/>
      <w:bookmarkStart w:id="157" w:name="_Toc513029237"/>
      <w:r/>
      <w:bookmarkStart w:id="158" w:name="_Toc20823309"/>
      <w:r>
        <w:rPr>
          <w:rFonts w:hint="eastAsia" w:ascii="仿宋" w:hAnsi="仿宋" w:eastAsia="仿宋" w:cs="仿宋"/>
          <w:i w:val="0"/>
          <w:iCs w:val="0"/>
          <w:color w:val="auto"/>
          <w:sz w:val="21"/>
          <w:szCs w:val="21"/>
          <w:highlight w:val="none"/>
          <w:lang w:val="en-US" w:eastAsia="zh-CN" w:bidi="ar-SA"/>
        </w:rPr>
        <w:t xml:space="preserve">30.签订合同</w:t>
      </w:r>
      <w:bookmarkEnd w:id="156"/>
      <w:r/>
      <w:bookmarkEnd w:id="157"/>
      <w:r/>
      <w:bookmarkEnd w:id="158"/>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30.l中标人应当在中标通知书发出之日起三十日内，按照招标文件确定的事项与采购人签订政府采购合同。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30.2招标文件、中标人的投标文件及招标过程中有关澄清、承诺文件均应作为合同附件。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30.3签订合同后，</w:t>
      </w:r>
      <w:r>
        <w:rPr>
          <w:rFonts w:hint="eastAsia" w:ascii="仿宋" w:hAnsi="仿宋" w:eastAsia="仿宋" w:cs="仿宋"/>
          <w:i w:val="0"/>
          <w:iCs w:val="0"/>
          <w:color w:val="auto"/>
          <w:sz w:val="21"/>
          <w:szCs w:val="21"/>
          <w:highlight w:val="none"/>
          <w:u w:val="none"/>
          <w:lang w:val="en-US" w:eastAsia="zh-CN" w:bidi="ar-SA"/>
        </w:rPr>
        <w:t xml:space="preserve">中标人不得将合同标的进行转包</w:t>
      </w:r>
      <w:r>
        <w:rPr>
          <w:rFonts w:hint="eastAsia" w:ascii="仿宋" w:hAnsi="仿宋" w:eastAsia="仿宋" w:cs="仿宋"/>
          <w:i w:val="0"/>
          <w:iCs w:val="0"/>
          <w:color w:val="auto"/>
          <w:sz w:val="21"/>
          <w:szCs w:val="21"/>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31、服务（包含与服务相关的货物）的追加</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32.政府采购政策功能落实</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32.1政府采购线上合同信用融资政策</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32.2进口产品</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32.3中小企业、监狱企业及残疾人福利性单位</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32.3.1中小企业定义：</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中小企业是</w:t>
      </w:r>
      <w:r>
        <w:rPr>
          <w:rFonts w:hint="eastAsia" w:ascii="仿宋" w:hAnsi="仿宋" w:eastAsia="仿宋" w:cs="仿宋"/>
          <w:i w:val="0"/>
          <w:iCs w:val="0"/>
          <w:color w:val="auto"/>
          <w:sz w:val="21"/>
          <w:szCs w:val="21"/>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32.3.2供应商提供的货物、工程或者服务符合下列情形的，享受中小企业扶持政策：</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32.3.2.1在货物采购项目中，货物由中小企业制造，即货物由中小企业生产且使用该中小企业商号或者注册商标；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32.3.2.2在工程采购项目中，工程由中小企业承建，即工程施工单位为中小企业；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32.3.3在货物采购项目中，供应商提供的货物既有中小企业制造货物，也有大型企业制造货物的，不享受中小企业扶持政策。</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32.3.6残疾人福利单位定义：享受政府采购支持政策的残疾人福利性单位应当同时满足以下条件：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32.3.6.1安置的残疾人占本单位在职职工人数的比例不低于25%（含25%），并且安置的残疾人人数不少于10 人（含10 人）；</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32.3.6.2依法与安置的每位残疾人签订了一年以上（含一年）的劳动合同或服务协议；</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32.3.6.3为安置的每位残疾人按月足额缴纳了基本养老保险、基本医疗保险、失业保险、工伤保险和生育保险等社会保险费；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32.3.7本项目是否专门面向中小企业预留采购份额见第一章《</w:t>
      </w:r>
      <w:r>
        <w:rPr>
          <w:rFonts w:hint="eastAsia" w:ascii="仿宋" w:hAnsi="仿宋" w:eastAsia="仿宋" w:cs="仿宋"/>
          <w:i w:val="0"/>
          <w:iCs w:val="0"/>
          <w:color w:val="auto"/>
          <w:sz w:val="21"/>
          <w:szCs w:val="21"/>
          <w:highlight w:val="none"/>
          <w:lang w:val="en-US" w:eastAsia="zh-CN" w:bidi="ar-SA"/>
        </w:rPr>
        <w:t xml:space="preserve">招标公告</w:t>
      </w:r>
      <w:r>
        <w:rPr>
          <w:rFonts w:hint="eastAsia" w:ascii="仿宋" w:hAnsi="仿宋" w:eastAsia="仿宋" w:cs="仿宋"/>
          <w:i w:val="0"/>
          <w:iCs w:val="0"/>
          <w:color w:val="auto"/>
          <w:sz w:val="21"/>
          <w:szCs w:val="21"/>
          <w:highlight w:val="none"/>
          <w:lang w:val="en-US" w:eastAsia="zh-CN" w:bidi="ar-SA"/>
        </w:rPr>
        <w:t xml:space="preserve">》。</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32.3.8采购标的对应的中小企业划分标准所属行业见第四章《采购需求》。</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32.3.9小微企业价格评审优惠的政策：见第五章《评标方法和评标标准》。</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32.4政府采购节能产品、环境标志产品</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32.4.1严格执行政府采购关于支持</w:t>
      </w:r>
      <w:r>
        <w:rPr>
          <w:rFonts w:hint="eastAsia" w:ascii="仿宋" w:hAnsi="仿宋" w:eastAsia="仿宋" w:cs="仿宋"/>
          <w:i w:val="0"/>
          <w:iCs w:val="0"/>
          <w:color w:val="auto"/>
          <w:sz w:val="21"/>
          <w:szCs w:val="21"/>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32.5绿色包装</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32.6政府采购创新产品</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采购人优先采购各级政府部门公开发布的有效期内的创新产品、创新服务、首台套、首购首用等《目录》的创新产品。</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32.7绿色数据中心政策 </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本文件中若涉及到数据中心采购，采购人应依据《绿色数据中心政府采购需求标准（试行）》（财办库〔2023〕7号）文件精神</w:t>
      </w:r>
      <w:r>
        <w:rPr>
          <w:rFonts w:hint="eastAsia" w:ascii="仿宋" w:hAnsi="仿宋" w:eastAsia="仿宋" w:cs="仿宋"/>
          <w:i w:val="0"/>
          <w:iCs w:val="0"/>
          <w:color w:val="auto"/>
          <w:sz w:val="21"/>
          <w:szCs w:val="21"/>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32.8履约保证金政策</w:t>
      </w:r>
      <w:r/>
    </w:p>
    <w:p>
      <w:pPr>
        <w:ind w:left="0" w:firstLine="420"/>
        <w:jc w:val="both"/>
        <w:pageBreakBefore w:val="0"/>
        <w:spacing w:before="0" w:beforeAutospacing="0" w:after="0" w:afterAutospacing="0" w:line="440" w:lineRule="exact"/>
        <w:widowControl w:val="off"/>
        <w:rPr>
          <w:rFonts w:hint="default"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本项目不需缴纳履约保证金。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33. 预付款制度</w:t>
      </w:r>
      <w:r/>
    </w:p>
    <w:p>
      <w:pPr>
        <w:pStyle w:val="746"/>
        <w:ind w:left="0" w:firstLine="420"/>
        <w:jc w:val="left"/>
        <w:keepNext/>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sz w:val="21"/>
          <w:szCs w:val="21"/>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仿宋" w:hAnsi="仿宋" w:eastAsia="仿宋" w:cs="仿宋"/>
          <w:i w:val="0"/>
          <w:iCs w:val="0"/>
          <w:color w:val="auto"/>
          <w:highlight w:val="none"/>
          <w:lang w:val="en-US" w:eastAsia="zh-CN"/>
        </w:rPr>
        <w:t xml:space="preserve">    </w:t>
      </w:r>
      <w:r/>
    </w:p>
    <w:p>
      <w:pPr>
        <w:rPr>
          <w:rFonts w:hint="eastAsia" w:ascii="仿宋" w:hAnsi="仿宋" w:eastAsia="仿宋" w:cs="仿宋"/>
          <w:i w:val="0"/>
          <w:iCs w:val="0"/>
          <w:color w:val="auto"/>
          <w:highlight w:val="none"/>
        </w:rPr>
      </w:pPr>
      <w:r/>
      <w:bookmarkStart w:id="159" w:name="_Toc8007"/>
      <w:r>
        <w:rPr>
          <w:rFonts w:hint="eastAsia" w:ascii="仿宋" w:hAnsi="仿宋" w:eastAsia="仿宋" w:cs="仿宋"/>
          <w:i w:val="0"/>
          <w:iCs w:val="0"/>
          <w:color w:val="auto"/>
          <w:highlight w:val="none"/>
        </w:rPr>
        <w:br w:type="page" w:clear="all"/>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bookmarkStart w:id="160" w:name="_Toc479757211"/>
      <w:r/>
      <w:bookmarkStart w:id="161" w:name="_Toc20823346"/>
      <w:r/>
      <w:bookmarkStart w:id="162" w:name="_Toc16938590"/>
      <w:r/>
      <w:bookmarkStart w:id="163" w:name="_Hlt16619350"/>
      <w:r/>
      <w:bookmarkStart w:id="164" w:name="_Toc120614244"/>
      <w:r/>
      <w:bookmarkStart w:id="165" w:name="_Toc462564139"/>
      <w:r/>
      <w:bookmarkStart w:id="166" w:name="_Hlt16619369"/>
      <w:r>
        <w:rPr>
          <w:rFonts w:hint="eastAsia" w:ascii="仿宋" w:hAnsi="仿宋" w:eastAsia="仿宋" w:cs="仿宋"/>
          <w:b/>
          <w:bCs/>
          <w:i w:val="0"/>
          <w:iCs w:val="0"/>
          <w:color w:val="auto"/>
          <w:sz w:val="44"/>
          <w:szCs w:val="44"/>
          <w:highlight w:val="none"/>
        </w:rPr>
        <w:t xml:space="preserve">第三</w:t>
      </w:r>
      <w:r>
        <w:rPr>
          <w:rFonts w:hint="eastAsia" w:ascii="仿宋" w:hAnsi="仿宋" w:eastAsia="仿宋" w:cs="仿宋"/>
          <w:b/>
          <w:bCs/>
          <w:i w:val="0"/>
          <w:iCs w:val="0"/>
          <w:color w:val="auto"/>
          <w:sz w:val="44"/>
          <w:szCs w:val="44"/>
          <w:highlight w:val="none"/>
          <w:lang w:eastAsia="zh-CN"/>
        </w:rPr>
        <w:t xml:space="preserve">章</w:t>
      </w:r>
      <w:r>
        <w:rPr>
          <w:rFonts w:hint="eastAsia" w:ascii="仿宋" w:hAnsi="仿宋" w:eastAsia="仿宋" w:cs="仿宋"/>
          <w:b/>
          <w:bCs/>
          <w:i w:val="0"/>
          <w:iCs w:val="0"/>
          <w:color w:val="auto"/>
          <w:sz w:val="44"/>
          <w:szCs w:val="44"/>
          <w:highlight w:val="none"/>
        </w:rPr>
        <w:t xml:space="preserve">  合同条款</w:t>
      </w:r>
      <w:bookmarkEnd w:id="159"/>
      <w:r/>
      <w:r/>
    </w:p>
    <w:p>
      <w:pPr>
        <w:rPr>
          <w:rFonts w:hint="eastAsia" w:ascii="仿宋" w:hAnsi="仿宋" w:eastAsia="仿宋" w:cs="仿宋"/>
          <w:i w:val="0"/>
          <w:iCs w:val="0"/>
          <w:color w:val="auto"/>
          <w:highlight w:val="none"/>
        </w:rPr>
      </w:pPr>
      <w:r/>
      <w:bookmarkStart w:id="167" w:name="EB6d2006462e294de090c16e672cecc3bd"/>
      <w:r/>
      <w:bookmarkEnd w:id="167"/>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u w:val="single"/>
        </w:rPr>
      </w:pPr>
      <w:r>
        <w:rPr>
          <w:rFonts w:hint="eastAsia" w:ascii="仿宋" w:hAnsi="仿宋" w:eastAsia="仿宋" w:cs="仿宋"/>
          <w:bCs/>
          <w:color w:val="auto"/>
          <w:sz w:val="21"/>
          <w:szCs w:val="21"/>
        </w:rPr>
        <w:t xml:space="preserve">甲方</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u w:val="single"/>
        </w:rPr>
        <w:t xml:space="preserve">                       </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法定代表人/负责人：</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住所：</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邮编：</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乙方：</w:t>
      </w:r>
      <w:r>
        <w:rPr>
          <w:rFonts w:hint="eastAsia" w:ascii="仿宋" w:hAnsi="仿宋" w:eastAsia="仿宋" w:cs="仿宋"/>
          <w:color w:val="auto"/>
          <w:sz w:val="21"/>
          <w:szCs w:val="21"/>
          <w:u w:val="single"/>
        </w:rPr>
        <w:t xml:space="preserve">                       </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住所：</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邮编：</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鉴于：</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1、甲方盐城市大丰区住房和城乡建设局通过“公开招标”的采购方式进行采购，通过相应的采购流程，确定乙方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作为“</w:t>
      </w:r>
      <w:r>
        <w:rPr>
          <w:rFonts w:hint="eastAsia" w:ascii="仿宋" w:hAnsi="仿宋" w:eastAsia="仿宋" w:cs="仿宋"/>
          <w:color w:val="auto"/>
          <w:sz w:val="21"/>
          <w:szCs w:val="21"/>
          <w:u w:val="single"/>
        </w:rPr>
        <w:t xml:space="preserve">盐城市大丰区东片区乡镇部分农房改造项目</w:t>
      </w:r>
      <w:r>
        <w:rPr>
          <w:rFonts w:hint="eastAsia" w:ascii="仿宋" w:hAnsi="仿宋" w:eastAsia="仿宋" w:cs="仿宋"/>
          <w:color w:val="auto"/>
          <w:sz w:val="21"/>
          <w:szCs w:val="21"/>
        </w:rPr>
        <w:t xml:space="preserve">”的承接的主体，符合有关法律规定的采购程序和资质要求。</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现依据《民法典》、《政府采购法》等有关法律、法规的规定，遵循平等、自愿、公平和诚实信用的原则，经甲乙双方协商一致，就本项目签订采购合同。</w:t>
      </w:r>
      <w:r/>
    </w:p>
    <w:p>
      <w:pPr>
        <w:ind w:firstLine="417"/>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第一条：定义和解释</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定义</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甲方：即采购主体，指</w:t>
      </w:r>
      <w:r>
        <w:rPr>
          <w:rFonts w:hint="eastAsia" w:ascii="仿宋" w:hAnsi="仿宋" w:eastAsia="仿宋" w:cs="仿宋"/>
          <w:color w:val="auto"/>
          <w:sz w:val="21"/>
          <w:szCs w:val="21"/>
          <w:u w:val="single"/>
        </w:rPr>
        <w:t xml:space="preserve">盐城市大丰区住房和城乡建设局</w:t>
      </w:r>
      <w:r>
        <w:rPr>
          <w:rFonts w:hint="eastAsia" w:ascii="仿宋" w:hAnsi="仿宋" w:eastAsia="仿宋" w:cs="仿宋"/>
          <w:color w:val="auto"/>
          <w:sz w:val="21"/>
          <w:szCs w:val="21"/>
        </w:rPr>
        <w:t xml:space="preserve">。</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乙方：即承接主体，指承接本项目的</w:t>
      </w:r>
      <w:r>
        <w:rPr>
          <w:rFonts w:hint="eastAsia" w:ascii="仿宋" w:hAnsi="仿宋" w:eastAsia="仿宋" w:cs="仿宋"/>
          <w:color w:val="auto"/>
          <w:sz w:val="21"/>
          <w:szCs w:val="21"/>
          <w:u w:val="single"/>
        </w:rPr>
        <w:t xml:space="preserve">                         </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第三方：指甲乙双方以外的任何自然人、法人、机构、组织、单位、实体等。</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本项目：盐城市大丰区东片区乡镇部分农房改造项目。</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项目交付日：指本合同规定的，由于项目完成、终止或其他原因造成的一方向甲方移交各种项目工程事项的管理权及相关财务的所有权的特定日期。</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书面形式：指有形表现所载内容的形式，包括合同文件、信件、电报、传真、电子邮件等。</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“元”：指人民币。</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解释</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除非本合同另有说明，下述词语在本合同中应适用本条规定的释义：</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“乙方”或“各方”指本合同的一方或各方。本合同的各方均包括其各自的合法承继人和获准受让人；</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“资产”包括现有和将来的任何类别的财产，收入及权益；</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“修订”包括补充、更新、替换或重新制定（“被修订”应作相应的解释）。</w:t>
      </w:r>
      <w:r/>
    </w:p>
    <w:p>
      <w:pPr>
        <w:ind w:firstLine="417"/>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第二条、合同构成及适用顺序</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（一）本合同由下述文件构成：</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1、本合同及其各项修订文件、变更协议；</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2、本合同附件；</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3、中标通知书、合同、招标、投标或报价文件（含澄清文件）；</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任何关于本合同内容的争议应按照下述顺序使用本合同文件予以澄清：（1）本合同；（2）合同附件；（3）招投标文件及招投标澄清文件。上述文件中上一序位文件与下一序位文件内容相矛盾时，应优先适用上一序位文件标准澄清本协议的规定。</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（三）本合同构成签约方就本合同所涉及的事项而订立的完整合同，并取代双方任何先前就本项目签订的合同或安排。</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（四）本合同条款标题仅为方便之用，不影响条款内容的解释</w:t>
      </w:r>
      <w:r/>
    </w:p>
    <w:p>
      <w:pPr>
        <w:ind w:firstLine="417"/>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第三条 项目基本情况</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1、项目名称：</w:t>
      </w:r>
      <w:r>
        <w:rPr>
          <w:rFonts w:hint="eastAsia" w:ascii="仿宋" w:hAnsi="仿宋" w:eastAsia="仿宋" w:cs="仿宋"/>
          <w:color w:val="auto"/>
          <w:sz w:val="21"/>
          <w:szCs w:val="21"/>
          <w:u w:val="single"/>
        </w:rPr>
        <w:t xml:space="preserve">盐城市大丰区东片区乡镇部分农房改造项目</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2、项目地点：</w:t>
      </w:r>
      <w:r>
        <w:rPr>
          <w:rFonts w:hint="eastAsia" w:ascii="仿宋" w:hAnsi="仿宋" w:eastAsia="仿宋" w:cs="仿宋"/>
          <w:color w:val="auto"/>
          <w:sz w:val="21"/>
          <w:szCs w:val="21"/>
          <w:u w:val="single"/>
        </w:rPr>
        <w:t xml:space="preserve">盐城市大丰区大桥镇、万盈镇、南阳镇、草庙镇</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3、项目建设内容与规模：</w:t>
      </w:r>
      <w:r>
        <w:rPr>
          <w:rFonts w:hint="eastAsia" w:ascii="仿宋" w:hAnsi="仿宋" w:eastAsia="仿宋" w:cs="仿宋"/>
          <w:color w:val="auto"/>
          <w:sz w:val="21"/>
          <w:szCs w:val="21"/>
          <w:u w:val="single"/>
          <w:lang w:eastAsia="zh-CN"/>
        </w:rPr>
        <w:t xml:space="preserve">本项目拟对盐城市大丰区大桥镇、万盈镇、南阳镇、草庙镇危旧房屋进行拆除，拆除总户数为3066户；拆除房屋总面积约356000平方米，其中：土地综合整治约2300亩，新增耕地面积约2300亩</w:t>
      </w:r>
      <w:r>
        <w:rPr>
          <w:rFonts w:hint="eastAsia" w:ascii="仿宋" w:hAnsi="仿宋" w:eastAsia="仿宋" w:cs="仿宋"/>
          <w:color w:val="auto"/>
          <w:sz w:val="21"/>
          <w:szCs w:val="21"/>
        </w:rPr>
        <w:t xml:space="preserve">。</w:t>
      </w:r>
      <w:r/>
    </w:p>
    <w:p>
      <w:pPr>
        <w:ind w:firstLine="417"/>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第四条 合同工期</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甲乙方确认,在任何情况下,除非甲方另行书面同意，乙方完成本项目规定的工程施工期限为：</w:t>
      </w:r>
      <w:r>
        <w:rPr>
          <w:rFonts w:hint="eastAsia" w:ascii="仿宋" w:hAnsi="仿宋" w:eastAsia="仿宋" w:cs="仿宋"/>
          <w:color w:val="auto"/>
          <w:sz w:val="21"/>
          <w:szCs w:val="21"/>
          <w:u w:val="single"/>
        </w:rPr>
        <w:t xml:space="preserve">自本合同生效之日起1年。</w:t>
      </w:r>
      <w:r/>
    </w:p>
    <w:p>
      <w:pPr>
        <w:ind w:firstLine="417"/>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第五条 合同价款、资金支付及履约担保</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1、本项目合同总价款为：金额(大写)</w:t>
      </w:r>
      <w:r>
        <w:rPr>
          <w:rFonts w:hint="eastAsia" w:ascii="仿宋" w:hAnsi="仿宋" w:eastAsia="仿宋" w:cs="仿宋"/>
          <w:color w:val="auto"/>
          <w:sz w:val="21"/>
          <w:szCs w:val="21"/>
          <w:u w:val="single"/>
        </w:rPr>
        <w:t xml:space="preserve">             元整(人民币)¥           </w:t>
      </w:r>
      <w:r>
        <w:rPr>
          <w:rFonts w:hint="eastAsia" w:ascii="仿宋" w:hAnsi="仿宋" w:eastAsia="仿宋" w:cs="仿宋"/>
          <w:color w:val="auto"/>
          <w:sz w:val="21"/>
          <w:szCs w:val="21"/>
        </w:rPr>
        <w:t xml:space="preserve">。</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2、甲、乙双方商定,同意按以下时点支付结算项目工程款，见下表：</w:t>
      </w:r>
      <w:r/>
    </w:p>
    <w:tbl>
      <w:tblPr>
        <w:tblStyle w:val="724"/>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1740"/>
        <w:gridCol w:w="1801"/>
        <w:gridCol w:w="2190"/>
        <w:gridCol w:w="2117"/>
        <w:gridCol w:w="1922"/>
      </w:tblGrid>
      <w:tr>
        <w:trPr>
          <w:trHeight w:val="4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0"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年份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202</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202</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3"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202</w:t>
            </w: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3"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合计</w:t>
            </w:r>
            <w:r/>
          </w:p>
        </w:tc>
      </w:tr>
      <w:tr>
        <w:trPr>
          <w:trHeight w:val="5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0"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采购价款支付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2.5亿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3"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余款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3" w:type="pct"/>
            <w:vAlign w:val="center"/>
            <w:textDirection w:val="lrTb"/>
            <w:noWrap w:val="false"/>
          </w:tcPr>
          <w:p>
            <w:pPr>
              <w:ind w:firstLine="0"/>
              <w:jc w:val="center"/>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中标价</w:t>
            </w:r>
            <w:r/>
          </w:p>
        </w:tc>
      </w:tr>
    </w:tbl>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本项目落实预付款制度，预付款比例为30%。在签订合同时，</w:t>
      </w:r>
      <w:r>
        <w:rPr>
          <w:rFonts w:hint="eastAsia" w:ascii="仿宋" w:hAnsi="仿宋" w:eastAsia="仿宋" w:cs="仿宋"/>
          <w:color w:val="auto"/>
          <w:sz w:val="21"/>
          <w:szCs w:val="21"/>
          <w:lang w:val="en-US" w:eastAsia="zh-CN"/>
        </w:rPr>
        <w:t xml:space="preserve">乙方</w:t>
      </w:r>
      <w:r>
        <w:rPr>
          <w:rFonts w:hint="eastAsia" w:ascii="仿宋" w:hAnsi="仿宋" w:eastAsia="仿宋" w:cs="仿宋"/>
          <w:color w:val="auto"/>
          <w:sz w:val="21"/>
          <w:szCs w:val="21"/>
        </w:rPr>
        <w:t xml:space="preserve">明确书面表示无需预付款或者主动要求降低预付款比例的，</w:t>
      </w:r>
      <w:r>
        <w:rPr>
          <w:rFonts w:hint="eastAsia" w:ascii="仿宋" w:hAnsi="仿宋" w:eastAsia="仿宋" w:cs="仿宋"/>
          <w:color w:val="auto"/>
          <w:sz w:val="21"/>
          <w:szCs w:val="21"/>
          <w:lang w:val="en-US" w:eastAsia="zh-CN"/>
        </w:rPr>
        <w:t xml:space="preserve">甲方</w:t>
      </w:r>
      <w:r>
        <w:rPr>
          <w:rFonts w:hint="eastAsia" w:ascii="仿宋" w:hAnsi="仿宋" w:eastAsia="仿宋" w:cs="仿宋"/>
          <w:color w:val="auto"/>
          <w:sz w:val="21"/>
          <w:szCs w:val="21"/>
        </w:rPr>
        <w:t xml:space="preserve">可就预付款比例作相应调整。</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3、甲方按乙方申请及时支付工程价款到指定账户,甲方不得以任何理由(不可抗力除外)拒绝或延迟履行本合同约定的工程价款及收益的偿付义务。</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第六条 工程质量及保障措施</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(一)乙方提供各项工程的质量标准应依据下述顺序确定</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1、国家质量控制标准；</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2、没有国家标准的,应适用行业质量标准；</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3、没有国家或行业质量标准的应适用省级质量标准；</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4、没有国家、省级，行业质量标准的,甲乙双方应协商确定可以适用的工程质量标准。</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乙方应在工程施工前向甲方提供适用于相关工程质量标准的相关文件,甲方在接到乙方提供的工程施工标准后应就该项标准的适用性及完备程度予以审核并提供书面意见.该质量标准经甲乙双方协商签字确认后应作为未来本合同项下相关工程质量的验收依据。</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(三)乙方应在项目进程中采取一切必要措施保障其所提供的工程质量符合有关标准。如果由于不可抗力等特殊原因不能保障工程质量的,乙方应书面通知甲方。</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四)甲方有权在乙方工程投资建设过程中，在不影响乙方正常运营的前提下,对乙方的工程质量及相关质量保障措施予以检查。甲方应及时组织相关部门,按照本合同规定的质量标准,对乙方交付的工程进行验收。如因甲方原因导致验收时间推迟的,乙方履行本合同义务期限应予顺延。</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五)甲方对工程各个施工节点检查的结果应以书面形式通知乙方。乙方如果对甲方的检查结果有异议、应在3个工作日内向甲方提出书面说明。甲方有权依据工程施工节点检查结果通知乙方停止履行本合同规定的其他义务。如果甲方没有通知乙方停止履行合同义务,乙方应继续向甲方提供所规定的其他服务, 甲方也应按照本合同规定履行相应义务。双方有关独立节点检查结果的争议由双方协商解决。协商不成的可以按照本合同规定的争议解决方式解决。</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（六）如果甲方因一个或多个检查结果书面通知乙方停止提供本合同规定的相关服务,甲乙双方应按照本合同规定的争议解决方式及同解除程序处理合同解除事宜。</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（七）乙方对其提供的工程质量应按照国家规定承担相应的产品维修，消费者保护及缺陷修复、质量赔偿责任。</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第七条  项目交付</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pPr>
      <w:r>
        <w:rPr>
          <w:rFonts w:hint="eastAsia" w:ascii="仿宋" w:hAnsi="仿宋" w:eastAsia="仿宋" w:cs="仿宋"/>
          <w:color w:val="auto"/>
          <w:sz w:val="21"/>
          <w:szCs w:val="21"/>
        </w:rPr>
        <w:t xml:space="preserve">乙方应在项目交付日向甲方移交下述资产及项目有关的信息资料,包括但不限于工程档案、投融资资料、资产清单、设备仪表清单、维修操作手册、质量保证书等。</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第八条  甲方的陈述和保证</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1、甲方负查采购本合同所规定的各项工程与乙方签署本合同。</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2.在本合同期内,甲方保证按照本合同约定时间支付对应采购款项。</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第九条  乙方的陈述和保证</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（一）乙方为依法设立、具有独立承担民事责任能力的法人。</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（二）乙方确认其已获得签署本合同的足够信息。乙方如因误解与工程内容及标准要求有关的任何事实或本合同的任何规定， 而导致其自身承担任何法律责任，乙方将不会获得任何额外补偿或就承担有关法律责任获得任何豁免。乙方进一步确认其签署并履行本合同不会违反其已有的任何其他合同或与其冲突。</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乙方的各项财务记录真实可靠。除已经向甲方说明的违约记录（如有）外，乙方不存在任何违约事项，未被列入经营异常名录或者严重违法企业名单、且其签署并履行本合同不会违反其已有的任何其他合同或与其冲突。</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（四）乙方获取及保持为履行本合同所需的一切政府授权、批准、许可证或特许，并须承担因获取和保持许可证及特许而可能产生的所有费用、收费及开支。</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（五）乙方自行缴付所有税项、费用、收费及款项。</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（六）乙方向甲方提供的所有文件资料真实、准确、完整，向甲方作出的所有陈述和保证在本合同有效期内真实有效。</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第十条 甲方的权利和义务</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（一）甲方的权利</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1、甲方有权随时向乙方了解项目进度并要求乙方提供项目相关资料。</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2、甲方有权按照本合同的约定及有关法律法规和政府管理的相关职能规定，对本项目的建设进行监督和检查; 但甲方并不因行使该等监督和检查权而承担任何责任，也并不因此减轻或免除乙方根据本合同或相关法律法规的要求而应承担的任何义务或责任。</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3"/>
      </w:pPr>
      <w:r>
        <w:rPr>
          <w:rFonts w:hint="eastAsia" w:ascii="仿宋" w:hAnsi="仿宋" w:eastAsia="仿宋" w:cs="仿宋"/>
          <w:color w:val="auto"/>
          <w:sz w:val="21"/>
          <w:szCs w:val="21"/>
        </w:rPr>
        <w:t xml:space="preserve">3、甲方有权对乙方就本项目注资和融资情况实施监督管理。</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(二)甲方的义务</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1.甲方应负责协调政府相关部门依法将采购工程资金纳入政府财政预算和管理，并按照本合同约定向乙方支付工程价款。</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2.甲方应及时向乙方提供与履行本合同相关的所有必须的文件、资科。</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3、甲方应按本合同约定完成由其落实的审批事项，提供合同实施条件。</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4、甲方应为乙方在合同履行过程中与其职能部门及其他第三方的沟通、协调提供必要的协助。</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第十一条 乙方的权利和义务</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(一)乙方的权利</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3"/>
      </w:pPr>
      <w:r>
        <w:rPr>
          <w:rFonts w:hint="eastAsia" w:ascii="仿宋" w:hAnsi="仿宋" w:eastAsia="仿宋" w:cs="仿宋"/>
          <w:color w:val="auto"/>
          <w:sz w:val="21"/>
          <w:szCs w:val="21"/>
        </w:rPr>
        <w:t xml:space="preserve">1、乙方有权按照本合同约定向甲方收取项目采购价款。</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2、乙方有权自甲方处获得与提供本合同项下项目相关的所有必需的文件、资料。</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3、乙方依法享有的本合同项下全部权益及收益但不限于请求甲方支付各种资金的权利及其收益等）。</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（二）乙方的义务</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1、乙方应按照本合同约定时间落实政府审批事项并按照各项审批文件要求完成项目。</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2、乙方应全面履行本项目建设管理中的相关安全生产管理职责，避免发生安全生产事故。因乙方未尽管理职责发生安全生产事故的，由乙方承担相应的法律责任。</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3、乙方应配备具有相应资质、特定经验并受到适当培训的工作人员；乙方应采用招标方式选择本项目的环评、设计、施工及监理等单位，相关招标方案及合同文件应当报甲方予以确认。</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4、乙方为本项目之目的而依据本合同签订的相关文件（包括但不限于工程文件、融资文件等）应当符合本合同的要求。</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5、乙方应接受并配合甲方或甲方组织的对本合同履行情况的监督与检查，对于甲方指出的问题，应及时做出合理解释或予以纠正。</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6、乙方应采取有效的措施保证本项目的融资按计划进度执行，不会影响到项目实施。且所有融资均用于本项目，并合理安排资金使用计划，确保项目得到顺利实施。</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7、乙方应对项目资金进行规范的财务管理和会计核算，加强自身监督，确保资金规范管理和使用。</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8、乙方应建立工程施工台账，记录相关文件、工作计划方案、项目和资金批复、项目进展和资金支付，工作汇报总结、重大活动和其它有关资料信息，以配合甲方及甲方组织的监督检验绩效评价。</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9、乙方应建立健全财务报告制度，按要求向甲方提供资金的使用情况，项目执行情况、成果总结等材料。</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10、乙方应根据甲方要求，无条件接受和配合甲方或甲方委托的会计师事务所进行的与本合同相关的审计，乙方应保存与本合同相关的记录和账目，保存期限为本合同终止后5年，经提前通知甲方或甲方委托的会计师事务所有权检査并复制该等记录和账目。</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11、项目交付后，乙方应无条件返还甲方向其提供的文件、资料并向甲方移交项目资料，同时乙方应当自留一份完整的项目档案并予以妥善保管。</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第十二条 指定人员及联系人</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1、甲方指定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作为甲方代表，负责与乙方的联络沟通及本合同履行中的各项事宜。</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2、乙方指定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作为乙方代表，负责与甲方的联络沟通及本合同履行中的各项事宣。</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outlineLvl w:val="2"/>
      </w:pPr>
      <w:r>
        <w:rPr>
          <w:rFonts w:hint="eastAsia" w:ascii="仿宋" w:hAnsi="仿宋" w:eastAsia="仿宋" w:cs="仿宋"/>
          <w:color w:val="auto"/>
          <w:sz w:val="21"/>
          <w:szCs w:val="21"/>
        </w:rPr>
        <w:t xml:space="preserve">3、联系人</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除非双方另有明确约定，任何一方根据本合同向另一方提供资料和发送通知的联系入和联系方式如下:</w:t>
      </w:r>
      <w:r/>
    </w:p>
    <w:tbl>
      <w:tblPr>
        <w:tblStyle w:val="7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5"/>
        <w:gridCol w:w="5035"/>
      </w:tblGrid>
      <w:tr>
        <w:trPr>
          <w:jc w:val="center"/>
          <w:trHeight w:val="420"/>
        </w:trPr>
        <w:tc>
          <w:tcPr>
            <w:tcW w:w="2472" w:type="pct"/>
            <w:vAlign w:val="top"/>
            <w:textDirection w:val="lrTb"/>
            <w:noWrap w:val="false"/>
          </w:tcPr>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甲方联系人:</w:t>
            </w:r>
            <w:r/>
          </w:p>
        </w:tc>
        <w:tc>
          <w:tcPr>
            <w:tcW w:w="2527" w:type="pct"/>
            <w:vAlign w:val="top"/>
            <w:textDirection w:val="lrTb"/>
            <w:noWrap w:val="false"/>
          </w:tcPr>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乙方联系人:</w:t>
            </w:r>
            <w:r/>
          </w:p>
        </w:tc>
      </w:tr>
      <w:tr>
        <w:trPr>
          <w:jc w:val="center"/>
          <w:trHeight w:val="547"/>
        </w:trPr>
        <w:tc>
          <w:tcPr>
            <w:tcW w:w="2472" w:type="pct"/>
            <w:vAlign w:val="top"/>
            <w:textDirection w:val="lrTb"/>
            <w:noWrap w:val="false"/>
          </w:tcPr>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w:t>
            </w:r>
            <w:r/>
          </w:p>
        </w:tc>
        <w:tc>
          <w:tcPr>
            <w:tcW w:w="2527" w:type="pct"/>
            <w:vAlign w:val="top"/>
            <w:textDirection w:val="lrTb"/>
            <w:noWrap w:val="false"/>
          </w:tcPr>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w:t>
            </w:r>
            <w:r/>
          </w:p>
        </w:tc>
      </w:tr>
    </w:tbl>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第十三条 保密</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（一）乙方及乙方工作人员在本合同履行过程中所获得的甲方、甲方所代表之政府以项目的所有信息和与提供本合同项目工程相关的记录、数据、报告等资料均属甲方之保密信息。</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(ニ)乙方应对该保密信息采取保密措施，且仅得为本合同之目的使用该保密信息</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(三)未经甲方书面同意，乙方不得披露、使用、转让、复制或允许第三方使用上述保密信息，为本合同之履行需要向其工作人员、代理人、贷款银行及其工作人员等披露的除外。</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(四)乙方应保证其工作人员、代理人等遵守本条有关保密的约定，且该约定不因本合同终止或者解除而失效。</w:t>
      </w:r>
      <w:r/>
    </w:p>
    <w:p>
      <w:pPr>
        <w:ind w:firstLine="420"/>
        <w:keepLines w:val="0"/>
        <w:keepNext w:val="0"/>
        <w:pageBreakBefore w:val="0"/>
        <w:spacing w:line="480" w:lineRule="exact"/>
        <w:widowControl w:val="off"/>
        <w:tabs>
          <w:tab w:val="left" w:pos="900" w:leader="none"/>
        </w:tabs>
        <w:rPr>
          <w:rFonts w:hint="eastAsia" w:ascii="仿宋" w:hAnsi="仿宋" w:eastAsia="仿宋" w:cs="仿宋"/>
          <w:b/>
          <w:bCs/>
          <w:color w:val="auto"/>
          <w:sz w:val="21"/>
          <w:szCs w:val="21"/>
        </w:rPr>
        <w:outlineLvl w:val="1"/>
      </w:pPr>
      <w:r>
        <w:rPr>
          <w:rFonts w:hint="eastAsia" w:ascii="仿宋" w:hAnsi="仿宋" w:eastAsia="仿宋" w:cs="仿宋"/>
          <w:b/>
          <w:bCs/>
          <w:color w:val="auto"/>
          <w:sz w:val="21"/>
          <w:szCs w:val="21"/>
        </w:rPr>
        <w:t xml:space="preserve">第十四条 不可抗力</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(一)如果乙方因不可抗力而导致合同覆行延误或不能履行合同义务，不应承担赔偿或终止合同的责任。</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(二)本条所述的“不可抗力”系指不能预见、不能避免并不能克服的客观情况，包括但不限于:战争、严重火灾，洪水，台风地震等，不包括乙方的违约或疏忽。</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(三)在不可抗力事件发生后，受到不可抗力影响的一方应尽快以书面形式将不可抗力的情况和原因通知对方，并尽最大努力减轻不可抗力对合同履行之影响。</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(四)如果任何不可抗力事件阻止一方履行其义务的时间持续超过10个工作日，双方应协商决定继续履行本合同。</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（五）如果自任何不可抗力事件发生后10个工作日内双方不能根据上述第四项之规定就继续履行本合同的条件或终止本合同达成一致意见的，任何一方有权限根据本合同的约定单方面通知对方提前终止本合同。</w:t>
      </w:r>
      <w:r/>
    </w:p>
    <w:p>
      <w:pPr>
        <w:ind w:firstLine="420"/>
        <w:keepLines w:val="0"/>
        <w:keepNext w:val="0"/>
        <w:pageBreakBefore w:val="0"/>
        <w:spacing w:line="480" w:lineRule="exact"/>
        <w:widowControl w:val="off"/>
        <w:tabs>
          <w:tab w:val="left" w:pos="900" w:leader="none"/>
        </w:tabs>
        <w:rPr>
          <w:rFonts w:hint="eastAsia" w:ascii="仿宋" w:hAnsi="仿宋" w:eastAsia="仿宋" w:cs="仿宋"/>
          <w:b/>
          <w:color w:val="auto"/>
          <w:sz w:val="21"/>
          <w:szCs w:val="21"/>
        </w:rPr>
        <w:outlineLvl w:val="1"/>
      </w:pPr>
      <w:r>
        <w:rPr>
          <w:rFonts w:hint="eastAsia" w:ascii="仿宋" w:hAnsi="仿宋" w:eastAsia="仿宋" w:cs="仿宋"/>
          <w:b/>
          <w:color w:val="auto"/>
          <w:sz w:val="21"/>
          <w:szCs w:val="21"/>
        </w:rPr>
        <w:t xml:space="preserve"> 第十五条  违约责任</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（一）甲乙任何一方违反本合同规定的义务均属违约。除非本合同或法律另有规定，任何一方违约不应成为另一方违约的理由，也不能免除另一方继续履行合同的责任。守约一方应尽量减少违约损失。</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二）任何一方发生本合同项下违约事件时，主张违约的一方应书面通知违约方予以改正，该通知应抄送贷款银行。收到违约通知的一方应就对方违约通知予以回复，确认是否违约并说明理由。双方应就违约事实认定及补救措施充分协商，尽可能减少违约损失。双方对违约事实认定及补救措施无法协商一致，应约定违约金额，如实际损失超过违约金的，按照实际损失进行赔偿。</w:t>
      </w:r>
      <w:r/>
    </w:p>
    <w:p>
      <w:pPr>
        <w:ind w:firstLine="420"/>
        <w:jc w:val="both"/>
        <w:keepLines w:val="0"/>
        <w:keepNext w:val="0"/>
        <w:pageBreakBefore w:val="0"/>
        <w:spacing w:line="480" w:lineRule="exact"/>
        <w:widowControl w:val="off"/>
        <w:rPr>
          <w:rFonts w:hint="eastAsia" w:ascii="仿宋" w:hAnsi="仿宋" w:eastAsia="仿宋" w:cs="仿宋"/>
          <w:b/>
          <w:color w:val="auto"/>
          <w:sz w:val="21"/>
          <w:szCs w:val="21"/>
          <w:lang w:val="en-US" w:eastAsia="zh-CN" w:bidi="ar-SA"/>
        </w:rPr>
        <w:outlineLvl w:val="1"/>
      </w:pPr>
      <w:r>
        <w:rPr>
          <w:rFonts w:hint="eastAsia" w:ascii="仿宋" w:hAnsi="仿宋" w:eastAsia="仿宋" w:cs="仿宋"/>
          <w:b/>
          <w:color w:val="auto"/>
          <w:sz w:val="21"/>
          <w:szCs w:val="21"/>
          <w:lang w:val="en-US" w:eastAsia="zh-CN" w:bidi="ar-SA"/>
        </w:rPr>
        <w:t xml:space="preserve">第十六条  适用法律和争议解决</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outlineLvl w:val="2"/>
      </w:pPr>
      <w:r>
        <w:rPr>
          <w:rFonts w:hint="eastAsia" w:ascii="仿宋" w:hAnsi="仿宋" w:eastAsia="仿宋" w:cs="仿宋"/>
          <w:color w:val="auto"/>
          <w:sz w:val="21"/>
          <w:szCs w:val="21"/>
          <w:lang w:val="en-US" w:eastAsia="zh-CN" w:bidi="ar-SA"/>
        </w:rPr>
        <w:t xml:space="preserve">（一）本合同适用国内法。</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（二）本合同履行过程中发生的或与本合同有关的一切争议，由双方友好协商解决，协商不成的，可依法向盐城市大丰区人民法院提起诉讼。</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outlineLvl w:val="2"/>
      </w:pPr>
      <w:r>
        <w:rPr>
          <w:rFonts w:hint="eastAsia" w:ascii="仿宋" w:hAnsi="仿宋" w:eastAsia="仿宋" w:cs="仿宋"/>
          <w:color w:val="auto"/>
          <w:sz w:val="21"/>
          <w:szCs w:val="21"/>
          <w:lang w:val="en-US" w:eastAsia="zh-CN" w:bidi="ar-SA"/>
        </w:rPr>
        <w:t xml:space="preserve">（三）争议解决期间，除争议事项外，双方应继续履行本合同。</w:t>
      </w:r>
      <w:r/>
    </w:p>
    <w:p>
      <w:pPr>
        <w:ind w:firstLine="420"/>
        <w:jc w:val="both"/>
        <w:keepLines w:val="0"/>
        <w:keepNext w:val="0"/>
        <w:pageBreakBefore w:val="0"/>
        <w:spacing w:line="480" w:lineRule="exact"/>
        <w:widowControl w:val="off"/>
        <w:rPr>
          <w:rFonts w:hint="eastAsia" w:ascii="仿宋" w:hAnsi="仿宋" w:eastAsia="仿宋" w:cs="仿宋"/>
          <w:b/>
          <w:color w:val="auto"/>
          <w:sz w:val="21"/>
          <w:szCs w:val="21"/>
          <w:lang w:val="en-US" w:eastAsia="zh-CN" w:bidi="ar-SA"/>
        </w:rPr>
        <w:outlineLvl w:val="1"/>
      </w:pPr>
      <w:r>
        <w:rPr>
          <w:rFonts w:hint="eastAsia" w:ascii="仿宋" w:hAnsi="仿宋" w:eastAsia="仿宋" w:cs="仿宋"/>
          <w:b/>
          <w:color w:val="auto"/>
          <w:sz w:val="21"/>
          <w:szCs w:val="21"/>
          <w:lang w:val="en-US" w:eastAsia="zh-CN" w:bidi="ar-SA"/>
        </w:rPr>
        <w:t xml:space="preserve">第十七条  合同的变更、解除和终止</w:t>
      </w:r>
      <w:r/>
    </w:p>
    <w:p>
      <w:pPr>
        <w:ind w:firstLine="420"/>
        <w:jc w:val="both"/>
        <w:keepLines w:val="0"/>
        <w:keepNext w:val="0"/>
        <w:pageBreakBefore w:val="0"/>
        <w:spacing w:line="480" w:lineRule="exact"/>
        <w:widowControl w:val="off"/>
        <w:rPr>
          <w:rFonts w:hint="eastAsia" w:ascii="仿宋" w:hAnsi="仿宋" w:eastAsia="仿宋" w:cs="仿宋"/>
          <w:b/>
          <w:color w:val="auto"/>
          <w:sz w:val="21"/>
          <w:szCs w:val="21"/>
          <w:lang w:val="en-US" w:eastAsia="zh-CN" w:bidi="ar-SA"/>
        </w:rPr>
        <w:outlineLvl w:val="2"/>
      </w:pPr>
      <w:r>
        <w:rPr>
          <w:rFonts w:hint="eastAsia" w:ascii="仿宋" w:hAnsi="仿宋" w:eastAsia="仿宋" w:cs="仿宋"/>
          <w:b/>
          <w:color w:val="auto"/>
          <w:sz w:val="21"/>
          <w:szCs w:val="21"/>
          <w:lang w:val="en-US" w:eastAsia="zh-CN" w:bidi="ar-SA"/>
        </w:rPr>
        <w:t xml:space="preserve">（一）变更、解除和终止的事由</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1、如本合同的继续履行将损害国家利益和社会公共利益，则双方均有权书面通知对方要求变更、解除本合同或针对本合同项下项目另行签署其他书面合同。</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2、非乙方原因导致本合同在双方约定的期限内无法完全履行或在履行过程中出现双方无法预见的困难，导致合同目的难以实现的，双方可经协商决定变更或解除本合同。</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outlineLvl w:val="3"/>
      </w:pPr>
      <w:r>
        <w:rPr>
          <w:rFonts w:hint="eastAsia" w:ascii="仿宋" w:hAnsi="仿宋" w:eastAsia="仿宋" w:cs="仿宋"/>
          <w:color w:val="auto"/>
          <w:sz w:val="21"/>
          <w:szCs w:val="21"/>
          <w:lang w:val="en-US" w:eastAsia="zh-CN" w:bidi="ar-SA"/>
        </w:rPr>
        <w:t xml:space="preserve">3、法律规定或本合同约定的其他事由。</w:t>
      </w:r>
      <w:r/>
    </w:p>
    <w:p>
      <w:pPr>
        <w:ind w:firstLine="420"/>
        <w:jc w:val="both"/>
        <w:keepLines w:val="0"/>
        <w:keepNext w:val="0"/>
        <w:pageBreakBefore w:val="0"/>
        <w:spacing w:line="480" w:lineRule="exact"/>
        <w:widowControl w:val="off"/>
        <w:rPr>
          <w:rFonts w:hint="eastAsia" w:ascii="仿宋" w:hAnsi="仿宋" w:eastAsia="仿宋" w:cs="仿宋"/>
          <w:b/>
          <w:color w:val="auto"/>
          <w:sz w:val="21"/>
          <w:szCs w:val="21"/>
          <w:lang w:val="en-US" w:eastAsia="zh-CN" w:bidi="ar-SA"/>
        </w:rPr>
        <w:outlineLvl w:val="2"/>
      </w:pPr>
      <w:r>
        <w:rPr>
          <w:rFonts w:hint="eastAsia" w:ascii="仿宋" w:hAnsi="仿宋" w:eastAsia="仿宋" w:cs="仿宋"/>
          <w:b/>
          <w:color w:val="auto"/>
          <w:sz w:val="21"/>
          <w:szCs w:val="21"/>
          <w:lang w:val="en-US" w:eastAsia="zh-CN" w:bidi="ar-SA"/>
        </w:rPr>
        <w:t xml:space="preserve">（二）变更、解除和终止的后果</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1、一方收到对方解除合同的通知或向对方发出解除合同的通知后，应立即停止履行与本合同相关的工作。</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双方应进行清算。经乙方提供书面证明文件，甲方应按下列方式支付价款（本合同另有约定的除外）；已完成且尚存的项目，具备验收条件的，按照相关规定处理竣工验收，并按照审计结论进行决算；不具备验收条件的，经委托有资质的造价鉴定机构及质监部门进行造价鉴定及质量评定，依据造价鉴定的结果进行支付。</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3、本合同因一方违约而解除或终止的，需事先征得贷款银行书面同意，违约方应赔偿给守约方造成的损失，并确保融资本息按期足额偿付。</w:t>
      </w:r>
      <w:r/>
    </w:p>
    <w:p>
      <w:pPr>
        <w:ind w:firstLine="420"/>
        <w:jc w:val="both"/>
        <w:keepLines w:val="0"/>
        <w:keepNext w:val="0"/>
        <w:pageBreakBefore w:val="0"/>
        <w:spacing w:line="480" w:lineRule="exact"/>
        <w:widowControl w:val="off"/>
        <w:rPr>
          <w:rFonts w:hint="eastAsia" w:ascii="仿宋" w:hAnsi="仿宋" w:eastAsia="仿宋" w:cs="仿宋"/>
          <w:b/>
          <w:color w:val="auto"/>
          <w:sz w:val="21"/>
          <w:szCs w:val="21"/>
          <w:lang w:val="en-US" w:eastAsia="zh-CN" w:bidi="ar-SA"/>
        </w:rPr>
        <w:outlineLvl w:val="1"/>
      </w:pPr>
      <w:r>
        <w:rPr>
          <w:rFonts w:hint="eastAsia" w:ascii="仿宋" w:hAnsi="仿宋" w:eastAsia="仿宋" w:cs="仿宋"/>
          <w:b/>
          <w:color w:val="auto"/>
          <w:sz w:val="21"/>
          <w:szCs w:val="21"/>
          <w:lang w:val="en-US" w:eastAsia="zh-CN" w:bidi="ar-SA"/>
        </w:rPr>
        <w:t xml:space="preserve">第十八条  合同效力</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（一）本合同未尽事宜，由双方协商解决并签定补充合同。对本合同的任何修改或补充应当由甲乙双方协商达成一致意见并取得贷款银行的书面同意。</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二）本合同任何条款被主管部门或法院认定为不合法、无效或不能强制执行的，或因法律、法规、国家政策等的变化而不合法、无效或不能强制执行的，该等不合法、无效或不能强制执行不影响本合同的其他条款的效力。</w:t>
      </w:r>
      <w:r/>
    </w:p>
    <w:p>
      <w:pPr>
        <w:ind w:firstLine="420"/>
        <w:jc w:val="both"/>
        <w:keepLines w:val="0"/>
        <w:keepNext w:val="0"/>
        <w:pageBreakBefore w:val="0"/>
        <w:spacing w:line="480" w:lineRule="exact"/>
        <w:widowControl w:val="off"/>
        <w:rPr>
          <w:rFonts w:hint="eastAsia" w:ascii="仿宋" w:hAnsi="仿宋" w:eastAsia="仿宋" w:cs="仿宋"/>
          <w:color w:val="auto"/>
          <w:sz w:val="21"/>
          <w:szCs w:val="21"/>
          <w:lang w:val="en-US" w:eastAsia="zh-CN" w:bidi="ar-SA"/>
        </w:rPr>
        <w:outlineLvl w:val="2"/>
      </w:pPr>
      <w:r>
        <w:rPr>
          <w:rFonts w:hint="eastAsia" w:ascii="仿宋" w:hAnsi="仿宋" w:eastAsia="仿宋" w:cs="仿宋"/>
          <w:color w:val="auto"/>
          <w:sz w:val="21"/>
          <w:szCs w:val="21"/>
          <w:lang w:val="en-US" w:eastAsia="zh-CN" w:bidi="ar-SA"/>
        </w:rPr>
        <w:t xml:space="preserve">（三）本合同在满足下述条件时生效： </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本合同经双方盖章，并经法定代表人(负责入)或授权代表签署;</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（四）甲方支付本合同项下的全部资金，本合同终止。</w:t>
      </w:r>
      <w:r/>
    </w:p>
    <w:p>
      <w:pPr>
        <w:ind w:firstLine="420"/>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（五）本合同一式六份，具有同等法律效力。</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甲方：（盖章）</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法定代表人（或授权代理人）（签章）：</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签约日期：   年  月  日</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乙方：（盖章）</w:t>
      </w:r>
      <w:r/>
    </w:p>
    <w:p>
      <w:pPr>
        <w:ind w:firstLine="417"/>
        <w:keepLines w:val="0"/>
        <w:keepNext w:val="0"/>
        <w:pageBreakBefore w:val="0"/>
        <w:spacing w:line="480" w:lineRule="exact"/>
        <w:widowControl w:val="off"/>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法定代表人（或授权代理人）（签章）：</w:t>
      </w:r>
      <w:r/>
    </w:p>
    <w:p>
      <w:pPr>
        <w:ind w:firstLine="417"/>
        <w:keepLines w:val="0"/>
        <w:keepNext w:val="0"/>
        <w:pageBreakBefore w:val="0"/>
        <w:spacing w:line="480" w:lineRule="exact"/>
        <w:widowControl w:val="off"/>
        <w:tabs>
          <w:tab w:val="left" w:pos="900" w:leader="none"/>
        </w:tabs>
        <w:rPr>
          <w:rFonts w:hint="eastAsia" w:ascii="宋体" w:hAnsi="宋体" w:eastAsia="宋体" w:cs="宋体"/>
          <w:color w:val="auto"/>
          <w:sz w:val="24"/>
          <w:szCs w:val="22"/>
        </w:rPr>
      </w:pPr>
      <w:r>
        <w:rPr>
          <w:rFonts w:hint="eastAsia" w:ascii="仿宋" w:hAnsi="仿宋" w:eastAsia="仿宋" w:cs="仿宋"/>
          <w:color w:val="auto"/>
          <w:sz w:val="21"/>
          <w:szCs w:val="21"/>
        </w:rPr>
        <w:t xml:space="preserve">签约日期：   年  月  日</w:t>
      </w:r>
      <w:r/>
    </w:p>
    <w:p>
      <w:pPr>
        <w:jc w:val="both"/>
        <w:spacing w:line="360" w:lineRule="auto"/>
        <w:rPr>
          <w:rFonts w:hint="eastAsia" w:ascii="宋体" w:hAnsi="宋体" w:eastAsia="宋体" w:cs="宋体"/>
          <w:color w:val="auto"/>
        </w:rPr>
        <w:sectPr>
          <w:footerReference w:type="defaul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color w:val="auto"/>
        </w:rPr>
      </w:r>
      <w:r/>
    </w:p>
    <w:p>
      <w:pPr>
        <w:jc w:val="center"/>
        <w:rPr>
          <w:rFonts w:hint="eastAsia" w:ascii="仿宋" w:hAnsi="仿宋" w:eastAsia="仿宋" w:cs="仿宋"/>
          <w:b/>
          <w:bCs/>
          <w:color w:val="auto"/>
          <w:sz w:val="21"/>
          <w:szCs w:val="21"/>
        </w:rPr>
      </w:pPr>
      <w:r/>
      <w:bookmarkStart w:id="168" w:name="_Toc311108200"/>
      <w:r/>
      <w:bookmarkStart w:id="169" w:name="_Toc311559391"/>
      <w:r/>
      <w:bookmarkStart w:id="170" w:name="_Toc311208789"/>
      <w:r/>
      <w:bookmarkStart w:id="171" w:name="_Toc311272869"/>
      <w:r>
        <w:rPr>
          <w:rFonts w:hint="eastAsia" w:ascii="仿宋" w:hAnsi="仿宋" w:eastAsia="仿宋" w:cs="仿宋"/>
          <w:b/>
          <w:bCs/>
          <w:color w:val="auto"/>
          <w:sz w:val="44"/>
          <w:szCs w:val="44"/>
        </w:rPr>
        <w:t xml:space="preserve">廉政合同</w:t>
      </w:r>
      <w:bookmarkEnd w:id="168"/>
      <w:r/>
      <w:bookmarkEnd w:id="169"/>
      <w:r/>
      <w:bookmarkEnd w:id="170"/>
      <w:r/>
      <w:bookmarkEnd w:id="171"/>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根据有关工程建设、廉政建设的规定，为做好项目实施过程中的党风廉政建设，保证工程项目的高效优质，保证建设资金的安全和有效使用以及投资效益，</w:t>
      </w:r>
      <w:r>
        <w:rPr>
          <w:rFonts w:hint="eastAsia" w:ascii="仿宋" w:hAnsi="仿宋" w:eastAsia="仿宋" w:cs="仿宋"/>
          <w:color w:val="auto"/>
          <w:sz w:val="21"/>
          <w:szCs w:val="21"/>
          <w:u w:val="single"/>
        </w:rPr>
        <w:t xml:space="preserve">盐城市大丰区住房和城乡建设局</w:t>
      </w:r>
      <w:r>
        <w:rPr>
          <w:rFonts w:hint="eastAsia" w:ascii="仿宋" w:hAnsi="仿宋" w:eastAsia="仿宋" w:cs="仿宋"/>
          <w:color w:val="auto"/>
          <w:sz w:val="21"/>
          <w:szCs w:val="21"/>
        </w:rPr>
        <w:t xml:space="preserve">（以下简称“委托人”）与</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中标人名称</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（以下简称“受托人”）特订立如下合同。</w:t>
      </w:r>
      <w:r/>
    </w:p>
    <w:p>
      <w:pPr>
        <w:ind w:firstLine="420"/>
        <w:keepLines w:val="0"/>
        <w:keepNext w:val="0"/>
        <w:pageBreakBefore w:val="0"/>
        <w:spacing w:line="440" w:lineRule="exact"/>
        <w:widowControl w:val="off"/>
        <w:rPr>
          <w:rFonts w:hint="eastAsia" w:ascii="仿宋" w:hAnsi="仿宋" w:eastAsia="仿宋" w:cs="仿宋"/>
          <w:color w:val="auto"/>
          <w:sz w:val="21"/>
          <w:szCs w:val="21"/>
        </w:rPr>
        <w:outlineLvl w:val="3"/>
      </w:pPr>
      <w:r>
        <w:rPr>
          <w:rFonts w:hint="eastAsia" w:ascii="仿宋" w:hAnsi="仿宋" w:eastAsia="仿宋" w:cs="仿宋"/>
          <w:color w:val="auto"/>
          <w:sz w:val="21"/>
          <w:szCs w:val="21"/>
        </w:rPr>
        <w:t xml:space="preserve">1．委托人和受托人双方的权利和义务</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（1）严格遵守党的政策规定和国家有关法律法规及建设部的有关规定。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（2）严格执行</w:t>
      </w:r>
      <w:r>
        <w:rPr>
          <w:rFonts w:hint="eastAsia" w:ascii="仿宋" w:hAnsi="仿宋" w:eastAsia="仿宋" w:cs="仿宋"/>
          <w:color w:val="auto"/>
          <w:sz w:val="21"/>
          <w:szCs w:val="21"/>
          <w:u w:val="single"/>
        </w:rPr>
        <w:t xml:space="preserve"> 盐城市大丰区东片区乡镇部分农房改造项目 </w:t>
      </w:r>
      <w:r>
        <w:rPr>
          <w:rFonts w:hint="eastAsia" w:ascii="仿宋" w:hAnsi="仿宋" w:eastAsia="仿宋" w:cs="仿宋"/>
          <w:color w:val="auto"/>
          <w:sz w:val="21"/>
          <w:szCs w:val="21"/>
        </w:rPr>
        <w:t xml:space="preserve">合同文件，自觉按合同办事。</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（3）双方的业务活动坚持公开、公正、诚信、透明的原则（法律认定的商业秘密和合同文件另有规定除外），不得损害国家和集体利益，不得违反工程建设管理规章制度。</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（4）建立健全廉政制度，开展廉政教育，设立廉政告示牌，公布举报电话，监督并认真查处违法违纪行为。</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（5）发现对方在业务活动中有违反廉政规定的行为，有及时提醒对方纠正的权利和义务。</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（6）发现对方严重违反本合同义务条款的行为，有向其上级有关部门举报、建议给予处理并要求告知处理结果的权利。</w:t>
      </w:r>
      <w:r/>
    </w:p>
    <w:p>
      <w:pPr>
        <w:ind w:firstLine="420"/>
        <w:keepLines w:val="0"/>
        <w:keepNext w:val="0"/>
        <w:pageBreakBefore w:val="0"/>
        <w:spacing w:line="440" w:lineRule="exact"/>
        <w:widowControl w:val="off"/>
        <w:rPr>
          <w:rFonts w:hint="eastAsia" w:ascii="仿宋" w:hAnsi="仿宋" w:eastAsia="仿宋" w:cs="仿宋"/>
          <w:color w:val="auto"/>
          <w:sz w:val="21"/>
          <w:szCs w:val="21"/>
        </w:rPr>
        <w:outlineLvl w:val="3"/>
      </w:pPr>
      <w:r>
        <w:rPr>
          <w:rFonts w:hint="eastAsia" w:ascii="仿宋" w:hAnsi="仿宋" w:eastAsia="仿宋" w:cs="仿宋"/>
          <w:color w:val="auto"/>
          <w:sz w:val="21"/>
          <w:szCs w:val="21"/>
        </w:rPr>
        <w:t xml:space="preserve">2．委托人的义务</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（1）委托人及其工作人员不得索要或接受承包人的礼金、有价证券和贵重物品，不得让受托人报销任何应由委托人或委托人工作人员个人支付的费用等。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（2）委托人工作人员不得参加委托人安排的超标准宴请和娱乐活动；不得接受委托人提供的通讯工具、交通工具和高档办公用品等。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（3）委托人及其工作人员不利要求或者接受受托人为其住房装修、婚丧嫁娶活动、配偶子女的工作安排以及出国出境、旅游等提供方便等。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（4）委托人工作人员及其配偶、子女不得从事与委托人工作有关的材料设备供应、工程分包、劳务等经济活动等。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（5）委托人及其工作人员不得以任何理由向受托人推荐分包单位或推销材料，不得要求受托人购买合同规定外的材料和设备。</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（6）委托人工作人员要秉公办事，不准营私舞弊，不准利用职权从事各种个人有偿中介活动。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（7）因委托人原因造成停、窝工时，委托人向乙方支付相应费用，标准按实际进场人员计算，每人100元/每天，服务期限顺延。</w:t>
      </w:r>
      <w:r/>
    </w:p>
    <w:p>
      <w:pPr>
        <w:ind w:firstLine="420"/>
        <w:keepLines w:val="0"/>
        <w:keepNext w:val="0"/>
        <w:pageBreakBefore w:val="0"/>
        <w:spacing w:line="440" w:lineRule="exact"/>
        <w:widowControl w:val="off"/>
        <w:rPr>
          <w:rFonts w:hint="eastAsia" w:ascii="仿宋" w:hAnsi="仿宋" w:eastAsia="仿宋" w:cs="仿宋"/>
          <w:color w:val="auto"/>
          <w:sz w:val="21"/>
          <w:szCs w:val="21"/>
        </w:rPr>
        <w:outlineLvl w:val="3"/>
      </w:pPr>
      <w:r>
        <w:rPr>
          <w:rFonts w:hint="eastAsia" w:ascii="仿宋" w:hAnsi="仿宋" w:eastAsia="仿宋" w:cs="仿宋"/>
          <w:color w:val="auto"/>
          <w:sz w:val="21"/>
          <w:szCs w:val="21"/>
        </w:rPr>
        <w:t xml:space="preserve">3．受托人的义务</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（1）受托人不得以任何理由向委托人及其工作人员行贿或馈赠礼金、有价证券、贵重礼品。</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（2）受托人不得以任何名义为委托人及其工作人员报销应由委托人单位或个人支付的任何费用。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（3）受托人不得以任何理由安排委托人工作人员参加超标准宴请及娱乐活动。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（4）受托人不得为委托人单位和个人购置或提供通讯工具、交通工具和高档办公用品等。</w:t>
      </w:r>
      <w:r/>
    </w:p>
    <w:p>
      <w:pPr>
        <w:ind w:firstLine="420"/>
        <w:keepLines w:val="0"/>
        <w:keepNext w:val="0"/>
        <w:pageBreakBefore w:val="0"/>
        <w:spacing w:line="440" w:lineRule="exact"/>
        <w:widowControl w:val="off"/>
        <w:rPr>
          <w:rFonts w:hint="eastAsia" w:ascii="仿宋" w:hAnsi="仿宋" w:eastAsia="仿宋" w:cs="仿宋"/>
          <w:color w:val="auto"/>
          <w:sz w:val="21"/>
          <w:szCs w:val="21"/>
        </w:rPr>
        <w:outlineLvl w:val="3"/>
      </w:pPr>
      <w:r>
        <w:rPr>
          <w:rFonts w:hint="eastAsia" w:ascii="仿宋" w:hAnsi="仿宋" w:eastAsia="仿宋" w:cs="仿宋"/>
          <w:color w:val="auto"/>
          <w:sz w:val="21"/>
          <w:szCs w:val="21"/>
        </w:rPr>
        <w:t xml:space="preserve">4．违约责任</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（1）委托人及其工作人员违反本合同第1、2条，按管理权限，依据有关规定给予党纪、政纪或组织处理；涉嫌犯罪的，移交司法机关追究刑事责任；给受托人单位造成经济损失的，应予以赔偿。</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受托人及其工作人员违反本合同第1、3条，按管理权限，依据有关规定给予党纪、政纪或组织处理；给委托人单位造成经济损失的，应予以赔偿；情节严重的，委托人建议相关部门给予承包人一至三年内不得进入建设市场的处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5. 本合同由双方代表签字，加盖双方公章或合同专用章，待上级主管部门要求申报项目，按中标顺序滚动，乙方获得服务资格后生效，至该工程项目竣工验收后失效。</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6．本合同作为</w:t>
      </w:r>
      <w:r>
        <w:rPr>
          <w:rFonts w:hint="eastAsia" w:ascii="仿宋" w:hAnsi="仿宋" w:eastAsia="仿宋" w:cs="仿宋"/>
          <w:color w:val="auto"/>
          <w:sz w:val="21"/>
          <w:szCs w:val="21"/>
          <w:u w:val="single"/>
        </w:rPr>
        <w:t xml:space="preserve"> 盐城市大丰区东片区乡镇部分农房改造项目 </w:t>
      </w:r>
      <w:r>
        <w:rPr>
          <w:rFonts w:hint="eastAsia" w:ascii="仿宋" w:hAnsi="仿宋" w:eastAsia="仿宋" w:cs="仿宋"/>
          <w:color w:val="auto"/>
          <w:sz w:val="21"/>
          <w:szCs w:val="21"/>
        </w:rPr>
        <w:t xml:space="preserve">合同的附件，与合同具有同等的法律效力，经合同双方签署后立即生效。</w:t>
      </w:r>
      <w:r/>
    </w:p>
    <w:p>
      <w:pPr>
        <w:ind w:firstLine="420"/>
        <w:keepLines w:val="0"/>
        <w:keepNext w:val="0"/>
        <w:pageBreakBefore w:val="0"/>
        <w:spacing w:line="440" w:lineRule="exact"/>
        <w:widowControl w:val="off"/>
        <w:rPr>
          <w:rFonts w:hint="eastAsia" w:ascii="仿宋" w:hAnsi="仿宋" w:eastAsia="仿宋" w:cs="仿宋"/>
          <w:color w:val="auto"/>
          <w:sz w:val="21"/>
          <w:szCs w:val="21"/>
        </w:rPr>
        <w:outlineLvl w:val="3"/>
      </w:pPr>
      <w:r>
        <w:rPr>
          <w:rFonts w:hint="eastAsia" w:ascii="仿宋" w:hAnsi="仿宋" w:eastAsia="仿宋" w:cs="仿宋"/>
          <w:color w:val="auto"/>
          <w:sz w:val="21"/>
          <w:szCs w:val="21"/>
        </w:rPr>
        <w:t xml:space="preserve">7．本合同一式</w:t>
      </w:r>
      <w:r>
        <w:rPr>
          <w:rFonts w:hint="eastAsia" w:ascii="仿宋" w:hAnsi="仿宋" w:eastAsia="仿宋" w:cs="仿宋"/>
          <w:color w:val="auto"/>
          <w:sz w:val="21"/>
          <w:szCs w:val="21"/>
          <w:u w:val="single"/>
          <w:lang w:val="en-US" w:eastAsia="zh-CN"/>
        </w:rPr>
        <w:t xml:space="preserve">陆</w:t>
      </w:r>
      <w:r>
        <w:rPr>
          <w:rFonts w:hint="eastAsia" w:ascii="仿宋" w:hAnsi="仿宋" w:eastAsia="仿宋" w:cs="仿宋"/>
          <w:color w:val="auto"/>
          <w:sz w:val="21"/>
          <w:szCs w:val="21"/>
        </w:rPr>
        <w:t xml:space="preserve">份，由发包人和承包人各执</w:t>
      </w:r>
      <w:r>
        <w:rPr>
          <w:rFonts w:hint="eastAsia" w:ascii="仿宋" w:hAnsi="仿宋" w:eastAsia="仿宋" w:cs="仿宋"/>
          <w:color w:val="auto"/>
          <w:sz w:val="21"/>
          <w:szCs w:val="21"/>
          <w:u w:val="single"/>
          <w:lang w:val="en-US" w:eastAsia="zh-CN"/>
        </w:rPr>
        <w:t xml:space="preserve">叁</w:t>
      </w:r>
      <w:r>
        <w:rPr>
          <w:rFonts w:hint="eastAsia" w:ascii="仿宋" w:hAnsi="仿宋" w:eastAsia="仿宋" w:cs="仿宋"/>
          <w:color w:val="auto"/>
          <w:sz w:val="21"/>
          <w:szCs w:val="21"/>
        </w:rPr>
        <w:t xml:space="preserve">份。</w:t>
      </w:r>
      <w:r/>
    </w:p>
    <w:p>
      <w:pPr>
        <w:ind w:firstLine="420"/>
        <w:keepLines w:val="0"/>
        <w:keepNext w:val="0"/>
        <w:pageBreakBefore w:val="0"/>
        <w:spacing w:line="36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firstLine="420"/>
        <w:keepLines w:val="0"/>
        <w:keepNext w:val="0"/>
        <w:pageBreakBefore w:val="0"/>
        <w:spacing w:line="36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甲方名称（盖章）：                     乙方名称（盖章）：</w:t>
      </w:r>
      <w:r/>
    </w:p>
    <w:p>
      <w:pPr>
        <w:ind w:firstLine="420"/>
        <w:keepLines w:val="0"/>
        <w:keepNext w:val="0"/>
        <w:pageBreakBefore w:val="0"/>
        <w:spacing w:line="36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firstLine="420"/>
        <w:keepLines w:val="0"/>
        <w:keepNext w:val="0"/>
        <w:pageBreakBefore w:val="0"/>
        <w:spacing w:line="36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法定代表人（委托代理人）：             法定代表人（委托代理人）：</w:t>
      </w:r>
      <w:r/>
    </w:p>
    <w:p>
      <w:pPr>
        <w:ind w:firstLine="420"/>
        <w:keepLines w:val="0"/>
        <w:keepNext w:val="0"/>
        <w:pageBreakBefore w:val="0"/>
        <w:spacing w:line="36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（签字）                              （签字）</w:t>
      </w:r>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r>
      <w:r/>
    </w:p>
    <w:p>
      <w:pPr>
        <w:pStyle w:val="911"/>
        <w:ind w:firstLine="420"/>
        <w:jc w:val="right"/>
        <w:keepLines w:val="0"/>
        <w:keepNext w:val="0"/>
        <w:pageBreakBefore w:val="0"/>
        <w:spacing w:before="0" w:after="0" w:line="440" w:lineRule="exact"/>
        <w:widowControl w:val="off"/>
        <w:rPr>
          <w:rFonts w:hint="eastAsia" w:ascii="仿宋" w:hAnsi="仿宋" w:eastAsia="仿宋" w:cs="仿宋"/>
          <w:i w:val="0"/>
          <w:iCs w:val="0"/>
          <w:color w:val="auto"/>
          <w:sz w:val="24"/>
          <w:szCs w:val="24"/>
          <w:highlight w:val="none"/>
        </w:rPr>
      </w:pPr>
      <w:r>
        <w:rPr>
          <w:rFonts w:hint="eastAsia" w:ascii="仿宋" w:hAnsi="仿宋" w:eastAsia="仿宋" w:cs="仿宋"/>
          <w:color w:val="auto"/>
          <w:sz w:val="21"/>
          <w:szCs w:val="21"/>
        </w:rPr>
        <w:t xml:space="preserve">                                          合同订立时间：202</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年  月  日</w:t>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bookmarkStart w:id="172" w:name="_Toc3664"/>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t xml:space="preserve">第</w:t>
      </w:r>
      <w:bookmarkEnd w:id="160"/>
      <w:r>
        <w:rPr>
          <w:rFonts w:hint="eastAsia" w:ascii="仿宋" w:hAnsi="仿宋" w:eastAsia="仿宋" w:cs="仿宋"/>
          <w:b/>
          <w:bCs/>
          <w:i w:val="0"/>
          <w:iCs w:val="0"/>
          <w:color w:val="auto"/>
          <w:sz w:val="44"/>
          <w:szCs w:val="44"/>
          <w:highlight w:val="none"/>
        </w:rPr>
        <w:t xml:space="preserve">四章 采购需求</w:t>
      </w:r>
      <w:bookmarkEnd w:id="161"/>
      <w:r/>
      <w:bookmarkEnd w:id="162"/>
      <w:r/>
      <w:bookmarkEnd w:id="163"/>
      <w:r/>
      <w:bookmarkEnd w:id="164"/>
      <w:r/>
      <w:bookmarkEnd w:id="165"/>
      <w:r/>
      <w:bookmarkEnd w:id="172"/>
      <w:r/>
      <w:r/>
    </w:p>
    <w:p>
      <w:pPr>
        <w:numPr>
          <w:ilvl w:val="0"/>
          <w:numId w:val="0"/>
        </w:numPr>
        <w:ind w:firstLine="422"/>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一、项目背景</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2018年9月，省委、省政府出台了《关于加快改善苏北地区农民群众住房条件推进城乡融合发展的意见》，意见明确到2020年，完成苏北地区四类重点对象危房改造；2022年，苏北地区建成一批具有活力的新型农村社区；2035年，苏北地区农民群众住房条件全面改善，城乡空间布局全面优化，城镇化水平显著提升，城乡融合发展体制机制更加完善。</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2019年8月7日，中共盐城市大丰区委印发了《盐城市大丰区改善农民群众住房条件补助办法》，办法明确了大丰区改善农民群众住房条件主要分为入住新型农村社区、进城购房、入镇购房、退耕还宅、新建插建翻建五种种形式。2020年5月23日，中共盐城市大丰区委印发了《关于进一步加强农民退宅进城入镇购房工作的实施意见》，对补助办法进行了进一步明确。</w:t>
      </w:r>
      <w:r/>
    </w:p>
    <w:p>
      <w:pPr>
        <w:numPr>
          <w:ilvl w:val="0"/>
          <w:numId w:val="0"/>
        </w:numPr>
        <w:ind w:firstLine="422"/>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二、项目概况</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1、项目名称：盐城市大丰区东片区乡镇部分农房改造项目</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2、建设地点：盐城市大丰区大桥镇、万盈镇、南阳镇、草庙镇</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3、合同履行期限：自合同生效之日起1年。</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4、项目建设内容与规模：本项目拟对盐城市大丰区大桥镇、万盈镇、南阳镇、草庙镇危旧房屋进行拆除，拆除总户数为3066户；拆除房屋总面积约356000平方米，其中：土地综合整治约2300亩，新增耕地面积约2300亩。</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5、项目预算：75000.00万元（超过预算价为无效报价）</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6、项目资金结算：第一年2.5亿元；第二年2.5亿元，第三年：剩余资金。</w:t>
      </w:r>
      <w:r/>
    </w:p>
    <w:p>
      <w:pPr>
        <w:numPr>
          <w:ilvl w:val="0"/>
          <w:numId w:val="0"/>
        </w:numPr>
        <w:ind w:firstLine="422"/>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三、项目实施原则</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1、政府主导与市场运作相结合。政府在制定和调整规划、拆除安置、市政基础设施建设、争取政策和资金支持方面充分发挥主体职能作用的同时，对农村危旧房屋户实施拆除安置，采取自主开发和市场化运作相结合的方式，积极推进农民住房条件改善。</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2、统筹规划与科学定位相结合。根据大丰地区土地综合整治推进的实际情况，分阶段科学合理地调整控制性规划（包括道路系统规划和宗教场所发展规划），坚持做到统一规划，合理布局。</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3、和谐搬迁与妥善安置相结合。按照先安置、后拆除、再开发的原则，制订科学合理的拆除补偿安置方案。坚持以人为本的理念，妥善安置农村危旧房屋户居民。经济的发展离不开拆除，更离不开广大拆除户的理解与支持。因此，拆除管理部门要积极、主动、足额地把拆除补偿款发放到位，使被拆除户及早入住自己理想的家园。</w:t>
      </w:r>
      <w:r/>
    </w:p>
    <w:p>
      <w:pPr>
        <w:numPr>
          <w:ilvl w:val="0"/>
          <w:numId w:val="0"/>
        </w:numPr>
        <w:ind w:firstLine="420"/>
        <w:keepLines w:val="0"/>
        <w:keepNext w:val="0"/>
        <w:pageBreakBefore w:val="0"/>
        <w:spacing w:beforeAutospacing="0" w:afterAutospacing="0" w:line="420" w:lineRule="exact"/>
        <w:widowControl w:val="off"/>
        <w:tabs>
          <w:tab w:val="left" w:pos="0" w:leader="none"/>
        </w:tabs>
        <w:rPr>
          <w:rFonts w:hint="eastAsia" w:ascii="仿宋" w:hAnsi="仿宋" w:eastAsia="仿宋" w:cs="仿宋"/>
          <w:i w:val="0"/>
          <w:iCs w:val="0"/>
          <w:color w:val="auto"/>
          <w:sz w:val="21"/>
          <w:szCs w:val="21"/>
          <w:lang w:val="en-US" w:eastAsia="zh-CN"/>
        </w:rPr>
      </w:pPr>
      <w:r>
        <w:rPr>
          <w:rFonts w:hint="eastAsia" w:ascii="仿宋" w:hAnsi="仿宋" w:eastAsia="仿宋" w:cs="仿宋"/>
          <w:b w:val="0"/>
          <w:bCs w:val="0"/>
          <w:i w:val="0"/>
          <w:iCs w:val="0"/>
          <w:color w:val="auto"/>
          <w:sz w:val="21"/>
          <w:szCs w:val="21"/>
          <w:highlight w:val="none"/>
          <w:lang w:val="en-US" w:eastAsia="zh-CN" w:bidi="ar-SA"/>
        </w:rPr>
        <w:t xml:space="preserve">4、分类改造与分片改造相结合。大丰地区视区域、居住群体、商业价值等不同情况，整体打包、分类出让、因地制宜，制定改造计划，合理确定改造时序，分别施以不同的改造方式，以点带面、以线促面，保证改造建设稳步推进。</w:t>
      </w:r>
      <w:r>
        <w:rPr>
          <w:rFonts w:hint="eastAsia" w:ascii="仿宋" w:hAnsi="仿宋" w:eastAsia="仿宋" w:cs="仿宋"/>
          <w:i w:val="0"/>
          <w:iCs w:val="0"/>
          <w:color w:val="auto"/>
        </w:rPr>
        <w:br w:type="page" w:clear="all"/>
      </w:r>
      <w:r>
        <w:rPr>
          <w:rFonts w:hint="eastAsia" w:ascii="仿宋" w:hAnsi="仿宋" w:eastAsia="仿宋" w:cs="仿宋"/>
          <w:i w:val="0"/>
          <w:iCs w:val="0"/>
          <w:color w:val="auto"/>
          <w:sz w:val="21"/>
          <w:szCs w:val="21"/>
          <w:lang w:val="en-US" w:eastAsia="zh-CN"/>
        </w:rPr>
      </w:r>
      <w:r/>
    </w:p>
    <w:p>
      <w:pPr>
        <w:pStyle w:val="746"/>
        <w:jc w:val="center"/>
        <w:spacing w:beforeAutospacing="0" w:afterAutospacing="0"/>
        <w:rPr>
          <w:rFonts w:hint="eastAsia" w:ascii="仿宋" w:hAnsi="仿宋" w:eastAsia="仿宋" w:cs="仿宋"/>
          <w:i w:val="0"/>
          <w:iCs w:val="0"/>
          <w:color w:val="auto"/>
          <w:highlight w:val="none"/>
        </w:rPr>
      </w:pPr>
      <w:r/>
      <w:bookmarkStart w:id="173" w:name="_Toc120614281"/>
      <w:r>
        <w:rPr>
          <w:rFonts w:hint="eastAsia" w:ascii="仿宋" w:hAnsi="仿宋" w:eastAsia="仿宋" w:cs="仿宋"/>
          <w:b/>
          <w:bCs/>
          <w:i w:val="0"/>
          <w:iCs w:val="0"/>
          <w:color w:val="auto"/>
          <w:sz w:val="44"/>
          <w:szCs w:val="44"/>
          <w:highlight w:val="none"/>
        </w:rPr>
        <w:t xml:space="preserve">第五章 评标方法与评标标准</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采用综合评分法的，评标结果按评审后得分由高到低顺序排列。得分相同的，按投标报价由低到高顺序排列。得分且投标报价相同的由评标委员会抽签确定排列顺序。投标文件满足招标文件全部实质性要求，且按照评审因素的量化指标评审得分最高的投标人为中标候选人。本项目选取1名中标候选人。</w:t>
      </w:r>
      <w:r/>
    </w:p>
    <w:p>
      <w:pPr>
        <w:pStyle w:val="746"/>
        <w:ind w:left="0" w:firstLine="422"/>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政府采购政策功能落实</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1、小微型企业价格扣除</w:t>
      </w:r>
      <w:r/>
    </w:p>
    <w:p>
      <w:pPr>
        <w:pStyle w:val="906"/>
        <w:ind w:left="0" w:firstLine="422"/>
        <w:keepLines w:val="0"/>
        <w:keepNext w:val="0"/>
        <w:pageBreakBefore w:val="0"/>
        <w:spacing w:before="0" w:after="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bCs/>
          <w:i w:val="0"/>
          <w:iCs w:val="0"/>
          <w:color w:val="auto"/>
          <w:sz w:val="21"/>
          <w:szCs w:val="21"/>
          <w:highlight w:val="none"/>
        </w:rPr>
        <w:t xml:space="preserve">（1）本项目不专门面向中小企业采购，对</w:t>
      </w:r>
      <w:r>
        <w:rPr>
          <w:rFonts w:hint="eastAsia" w:ascii="仿宋" w:hAnsi="仿宋" w:eastAsia="仿宋" w:cs="仿宋"/>
          <w:b/>
          <w:bCs/>
          <w:i w:val="0"/>
          <w:iCs w:val="0"/>
          <w:color w:val="auto"/>
          <w:sz w:val="21"/>
          <w:szCs w:val="21"/>
          <w:highlight w:val="none"/>
          <w:lang w:val="en-US" w:eastAsia="zh-CN"/>
        </w:rPr>
        <w:t xml:space="preserve">符合规定的</w:t>
      </w:r>
      <w:r>
        <w:rPr>
          <w:rFonts w:hint="eastAsia" w:ascii="仿宋" w:hAnsi="仿宋" w:eastAsia="仿宋" w:cs="仿宋"/>
          <w:b/>
          <w:bCs/>
          <w:i w:val="0"/>
          <w:iCs w:val="0"/>
          <w:color w:val="auto"/>
          <w:sz w:val="21"/>
          <w:szCs w:val="21"/>
          <w:highlight w:val="none"/>
        </w:rPr>
        <w:t xml:space="preserve">小型和微型企业</w:t>
      </w:r>
      <w:r>
        <w:rPr>
          <w:rFonts w:hint="eastAsia" w:ascii="仿宋" w:hAnsi="仿宋" w:eastAsia="仿宋" w:cs="仿宋"/>
          <w:b/>
          <w:bCs/>
          <w:i w:val="0"/>
          <w:iCs w:val="0"/>
          <w:color w:val="auto"/>
          <w:sz w:val="21"/>
          <w:szCs w:val="21"/>
          <w:highlight w:val="none"/>
          <w:lang w:val="en-US" w:eastAsia="zh-CN"/>
        </w:rPr>
        <w:t xml:space="preserve">报价</w:t>
      </w:r>
      <w:r>
        <w:rPr>
          <w:rFonts w:hint="eastAsia" w:ascii="仿宋" w:hAnsi="仿宋" w:eastAsia="仿宋" w:cs="仿宋"/>
          <w:b/>
          <w:bCs/>
          <w:i w:val="0"/>
          <w:iCs w:val="0"/>
          <w:color w:val="auto"/>
          <w:sz w:val="21"/>
          <w:szCs w:val="21"/>
          <w:highlight w:val="none"/>
        </w:rPr>
        <w:t xml:space="preserve">给予20%的扣除价格，用扣除后的价格参与评审。</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（2）供应商需按照采购文件的要求提供相应的《小微企业声明函》。</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（3）企业标准请参照《关于印发中小企业划型标准规定的通知》（工信部联企业[2011]300号）文件规定自行填写。</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2、残疾人福利单位价格扣除</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u w:val="single"/>
          <w:lang w:eastAsia="zh-CN"/>
        </w:rPr>
      </w:pPr>
      <w:r>
        <w:rPr>
          <w:rFonts w:hint="eastAsia" w:ascii="仿宋" w:hAnsi="仿宋" w:eastAsia="仿宋" w:cs="仿宋"/>
          <w:i w:val="0"/>
          <w:iCs w:val="0"/>
          <w:color w:val="auto"/>
          <w:sz w:val="21"/>
          <w:szCs w:val="21"/>
          <w:highlight w:val="none"/>
        </w:rPr>
        <w:t xml:space="preserve">（1）本项目对残疾人福利性单位视同小型、微型企业，给予</w:t>
      </w:r>
      <w:r>
        <w:rPr>
          <w:rFonts w:hint="eastAsia" w:ascii="仿宋" w:hAnsi="仿宋" w:eastAsia="仿宋" w:cs="仿宋"/>
          <w:i w:val="0"/>
          <w:iCs w:val="0"/>
          <w:color w:val="auto"/>
          <w:sz w:val="21"/>
          <w:szCs w:val="21"/>
          <w:highlight w:val="none"/>
          <w:u w:val="single"/>
        </w:rPr>
        <w:t xml:space="preserve">20%</w:t>
      </w:r>
      <w:r>
        <w:rPr>
          <w:rFonts w:hint="eastAsia" w:ascii="仿宋" w:hAnsi="仿宋" w:eastAsia="仿宋" w:cs="仿宋"/>
          <w:i w:val="0"/>
          <w:iCs w:val="0"/>
          <w:color w:val="auto"/>
          <w:sz w:val="21"/>
          <w:szCs w:val="21"/>
          <w:highlight w:val="none"/>
        </w:rPr>
        <w:t xml:space="preserve">的价格扣除</w:t>
      </w:r>
      <w:r>
        <w:rPr>
          <w:rFonts w:hint="eastAsia" w:ascii="仿宋" w:hAnsi="仿宋" w:eastAsia="仿宋" w:cs="仿宋"/>
          <w:i w:val="0"/>
          <w:iCs w:val="0"/>
          <w:color w:val="auto"/>
          <w:sz w:val="21"/>
          <w:szCs w:val="21"/>
          <w:highlight w:val="none"/>
          <w:lang w:eastAsia="zh-CN"/>
        </w:rPr>
        <w:t xml:space="preserve">。</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（2）残疾人福利单位需按照采购文件的要求提供《残疾人福利性单位声明函》。</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（3）残疾人福利单位标准请参照《关于促进残疾人就业政府采购政策的通知》（财库〔2017〕141号）。</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3、监狱和戒毒企业价格扣除</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u w:val="single"/>
          <w:lang w:eastAsia="zh-CN"/>
        </w:rPr>
      </w:pPr>
      <w:r>
        <w:rPr>
          <w:rFonts w:hint="eastAsia" w:ascii="仿宋" w:hAnsi="仿宋" w:eastAsia="仿宋" w:cs="仿宋"/>
          <w:i w:val="0"/>
          <w:iCs w:val="0"/>
          <w:color w:val="auto"/>
          <w:sz w:val="21"/>
          <w:szCs w:val="21"/>
          <w:highlight w:val="none"/>
        </w:rPr>
        <w:t xml:space="preserve">（1）本项目对监狱和戒毒企业（简称监狱企业）视同小型、微型企业，给予</w:t>
      </w:r>
      <w:r>
        <w:rPr>
          <w:rFonts w:hint="eastAsia" w:ascii="仿宋" w:hAnsi="仿宋" w:eastAsia="仿宋" w:cs="仿宋"/>
          <w:i w:val="0"/>
          <w:iCs w:val="0"/>
          <w:color w:val="auto"/>
          <w:sz w:val="21"/>
          <w:szCs w:val="21"/>
          <w:highlight w:val="none"/>
          <w:u w:val="single"/>
        </w:rPr>
        <w:t xml:space="preserve">20%</w:t>
      </w:r>
      <w:r>
        <w:rPr>
          <w:rFonts w:hint="eastAsia" w:ascii="仿宋" w:hAnsi="仿宋" w:eastAsia="仿宋" w:cs="仿宋"/>
          <w:i w:val="0"/>
          <w:iCs w:val="0"/>
          <w:color w:val="auto"/>
          <w:sz w:val="21"/>
          <w:szCs w:val="21"/>
          <w:highlight w:val="none"/>
        </w:rPr>
        <w:t xml:space="preserve">的价格扣除</w:t>
      </w:r>
      <w:r>
        <w:rPr>
          <w:rFonts w:hint="eastAsia" w:ascii="仿宋" w:hAnsi="仿宋" w:eastAsia="仿宋" w:cs="仿宋"/>
          <w:i w:val="0"/>
          <w:iCs w:val="0"/>
          <w:color w:val="auto"/>
          <w:sz w:val="21"/>
          <w:szCs w:val="21"/>
          <w:highlight w:val="none"/>
          <w:lang w:eastAsia="zh-CN"/>
        </w:rPr>
        <w:t xml:space="preserve">。</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（3）监狱企业标准请参照《关于政府采购支持监狱企业发展有关问题的通知》（财库[2014]68号）。</w:t>
      </w:r>
      <w:r/>
    </w:p>
    <w:p>
      <w:pPr>
        <w:pStyle w:val="746"/>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4、残疾人福利单位、监狱企业属于小型、微型企业的，不重复享受政策。</w:t>
      </w:r>
      <w:r/>
    </w:p>
    <w:p>
      <w:pPr>
        <w:pStyle w:val="746"/>
        <w:ind w:left="0" w:firstLine="422"/>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bCs/>
          <w:i w:val="0"/>
          <w:iCs w:val="0"/>
          <w:color w:val="auto"/>
          <w:sz w:val="21"/>
          <w:szCs w:val="21"/>
          <w:highlight w:val="none"/>
        </w:rPr>
        <w:t xml:space="preserve">5、本项目</w:t>
      </w:r>
      <w:r>
        <w:rPr>
          <w:rFonts w:hint="eastAsia" w:ascii="仿宋" w:hAnsi="仿宋" w:eastAsia="仿宋" w:cs="仿宋"/>
          <w:b/>
          <w:bCs/>
          <w:i w:val="0"/>
          <w:iCs w:val="0"/>
          <w:color w:val="auto"/>
          <w:sz w:val="21"/>
          <w:szCs w:val="21"/>
          <w:highlight w:val="none"/>
          <w:lang w:val="en-US" w:eastAsia="zh-CN"/>
        </w:rPr>
        <w:t xml:space="preserve">不</w:t>
      </w:r>
      <w:r>
        <w:rPr>
          <w:rFonts w:hint="eastAsia" w:ascii="仿宋" w:hAnsi="仿宋" w:eastAsia="仿宋" w:cs="仿宋"/>
          <w:b/>
          <w:bCs/>
          <w:i w:val="0"/>
          <w:iCs w:val="0"/>
          <w:color w:val="auto"/>
          <w:sz w:val="21"/>
          <w:szCs w:val="21"/>
          <w:highlight w:val="none"/>
        </w:rPr>
        <w:t xml:space="preserve">同意联合体投标或分包履行合同。</w:t>
      </w:r>
      <w:r/>
    </w:p>
    <w:p>
      <w:pPr>
        <w:ind w:left="0" w:firstLine="420"/>
        <w:keepLines w:val="0"/>
        <w:keepNext w:val="0"/>
        <w:pageBreakBefore w:val="0"/>
        <w:spacing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6</w:t>
      </w:r>
      <w:r>
        <w:rPr>
          <w:rFonts w:hint="eastAsia" w:ascii="仿宋" w:hAnsi="仿宋" w:eastAsia="仿宋" w:cs="仿宋"/>
          <w:i w:val="0"/>
          <w:iCs w:val="0"/>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val="0"/>
          <w:iCs w:val="0"/>
          <w:color w:val="auto"/>
          <w:sz w:val="21"/>
          <w:szCs w:val="21"/>
          <w:highlight w:val="none"/>
        </w:rPr>
        <w:t xml:space="preserve">如属政府强制采购产品未提供认证证书的或认证证书提供不全的将视为未实质性响应采购要求</w:t>
      </w:r>
      <w:r>
        <w:rPr>
          <w:rFonts w:hint="eastAsia" w:ascii="仿宋" w:hAnsi="仿宋" w:eastAsia="仿宋" w:cs="仿宋"/>
          <w:i w:val="0"/>
          <w:iCs w:val="0"/>
          <w:color w:val="auto"/>
          <w:sz w:val="21"/>
          <w:szCs w:val="21"/>
          <w:highlight w:val="none"/>
        </w:rPr>
        <w:t xml:space="preserve">。其他条件相同情况下，应当优先采购节能产品、环境标志产品。</w:t>
      </w:r>
      <w:r/>
    </w:p>
    <w:p>
      <w:pPr>
        <w:pStyle w:val="746"/>
        <w:ind w:left="0" w:firstLine="422"/>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评标方法与评标标准</w:t>
      </w:r>
      <w:r/>
    </w:p>
    <w:tbl>
      <w:tblPr>
        <w:tblStyle w:val="724"/>
        <w:tblW w:w="49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134"/>
        <w:gridCol w:w="1171"/>
        <w:gridCol w:w="6738"/>
      </w:tblGrid>
      <w:tr>
        <w:trPr>
          <w:jc w:val="center"/>
          <w:trHeight w:val="850"/>
        </w:trPr>
        <w:tc>
          <w:tcPr>
            <w:tcW w:w="443"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b/>
                <w:color w:val="auto"/>
                <w:sz w:val="21"/>
                <w:szCs w:val="21"/>
                <w:lang w:bidi="ar"/>
              </w:rPr>
              <w:t xml:space="preserve">条款号</w:t>
            </w:r>
            <w:r/>
          </w:p>
        </w:tc>
        <w:tc>
          <w:tcPr>
            <w:gridSpan w:val="2"/>
            <w:tcW w:w="1161"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b/>
                <w:color w:val="auto"/>
                <w:sz w:val="21"/>
                <w:szCs w:val="21"/>
                <w:lang w:bidi="ar"/>
              </w:rPr>
              <w:t xml:space="preserve">评分因素</w:t>
            </w:r>
            <w:r/>
          </w:p>
        </w:tc>
        <w:tc>
          <w:tcPr>
            <w:tcW w:w="3394"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bidi="ar"/>
              </w:rPr>
              <w:t xml:space="preserve">评分标准分值</w:t>
            </w:r>
            <w:r/>
          </w:p>
        </w:tc>
      </w:tr>
      <w:tr>
        <w:trPr>
          <w:jc w:val="center"/>
          <w:trHeight w:val="1332"/>
        </w:trPr>
        <w:tc>
          <w:tcPr>
            <w:tcW w:w="443"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w:t>
            </w:r>
            <w:r/>
          </w:p>
        </w:tc>
        <w:tc>
          <w:tcPr>
            <w:gridSpan w:val="2"/>
            <w:tcW w:w="1161"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投标报价</w:t>
            </w:r>
            <w:r/>
          </w:p>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（10分）</w:t>
            </w:r>
            <w:r/>
          </w:p>
        </w:tc>
        <w:tc>
          <w:tcPr>
            <w:tcW w:w="3394" w:type="pct"/>
            <w:vAlign w:val="center"/>
            <w:textDirection w:val="lrTb"/>
            <w:noWrap w:val="false"/>
          </w:tcPr>
          <w:p>
            <w:pPr>
              <w:ind w:firstLine="0"/>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采用低价优先法计算，即满足招标文件要求且投标价格最低的投标报价为评标基准价，其价格分为满分。其他投标人的价格分按照下列公式计算：投标报价得分=（评标基准价／投标报价）×10（保留两位小数）。</w:t>
            </w:r>
            <w:r/>
          </w:p>
        </w:tc>
      </w:tr>
      <w:tr>
        <w:trPr>
          <w:jc w:val="center"/>
          <w:trHeight w:val="90"/>
        </w:trPr>
        <w:tc>
          <w:tcPr>
            <w:tcW w:w="443"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gridSpan w:val="2"/>
            <w:tcW w:w="1161" w:type="pct"/>
            <w:vAlign w:val="center"/>
            <w:textDirection w:val="lrTb"/>
            <w:noWrap w:val="false"/>
          </w:tcPr>
          <w:p>
            <w:pPr>
              <w:ind w:firstLine="0"/>
              <w:jc w:val="center"/>
              <w:keepLines w:val="0"/>
              <w:keepNext w:val="0"/>
              <w:pageBreakBefore w:val="0"/>
              <w:spacing w:line="440" w:lineRule="exact"/>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实施方案</w:t>
            </w:r>
            <w:r/>
          </w:p>
          <w:p>
            <w:pPr>
              <w:ind w:firstLine="0"/>
              <w:jc w:val="center"/>
              <w:keepLines w:val="0"/>
              <w:keepNext w:val="0"/>
              <w:pageBreakBefore w:val="0"/>
              <w:spacing w:line="440" w:lineRule="exac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（53分）</w:t>
            </w:r>
            <w:r/>
          </w:p>
        </w:tc>
        <w:tc>
          <w:tcPr>
            <w:tcW w:w="3394" w:type="pct"/>
            <w:vAlign w:val="center"/>
            <w:textDirection w:val="lrTb"/>
            <w:noWrap w:val="false"/>
          </w:tcPr>
          <w:p>
            <w:pPr>
              <w:ind w:firstLine="0"/>
              <w:jc w:val="left"/>
              <w:keepLines w:val="0"/>
              <w:keepNext w:val="0"/>
              <w:pageBreakBefore w:val="0"/>
              <w:spacing w:line="440" w:lineRule="exact"/>
              <w:tabs>
                <w:tab w:val="left" w:pos="5400" w:leader="none"/>
              </w:tabs>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拆除安置方案科学合理完整、可行性强、有针对性、完全满足招标文件要求的得12～17分，方案完整但科学合理及可行性欠缺、缺乏针对性、不完全符合招标文件要求的得9～11.99分，方案不完整且可行性欠缺、缺乏针对性、不符合招标文件的得6～8.99分，本项提供的，得基本分5.99分；本项没有提供的不得分。</w:t>
            </w:r>
            <w:r/>
          </w:p>
          <w:p>
            <w:pPr>
              <w:ind w:firstLine="0"/>
              <w:jc w:val="left"/>
              <w:keepLines w:val="0"/>
              <w:keepNext w:val="0"/>
              <w:pageBreakBefore w:val="0"/>
              <w:spacing w:line="440" w:lineRule="exact"/>
              <w:tabs>
                <w:tab w:val="left" w:pos="5400" w:leader="none"/>
              </w:tabs>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土地平整方案科学合理完整、可行性强、有针对性、完全满足招标文件要求的得15～20分，方案完整但科学合理及可行性欠缺、缺乏针对性、不完全符合招标文件要求的得12～14.99分，方案不完整且可行性欠缺、缺乏针对性、不符合招标文件的得9～11.99分，本项提供的，得基本分8.99分；本项没有提供的不得分。</w:t>
            </w:r>
            <w:r/>
          </w:p>
          <w:p>
            <w:pPr>
              <w:ind w:firstLine="0"/>
              <w:jc w:val="left"/>
              <w:keepLines w:val="0"/>
              <w:keepNext w:val="0"/>
              <w:pageBreakBefore w:val="0"/>
              <w:spacing w:line="440" w:lineRule="exact"/>
              <w:tabs>
                <w:tab w:val="left" w:pos="5400" w:leader="none"/>
              </w:tabs>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工程建设管理方案科学合理完整、可行性强、有针对性、完全满足招标文件要求的得12～16分，方案完整但科学合理及可行性欠缺、缺乏针对性、不完全符合招标文件要求的得9～11.99分，方案不完整且可行性欠缺、缺乏针对性、不符合招标文件的得6～8.99分，本项提供的，得基本分5.99分；本项没有提供的不得分。</w:t>
            </w:r>
            <w:r/>
          </w:p>
        </w:tc>
      </w:tr>
      <w:tr>
        <w:trPr>
          <w:jc w:val="center"/>
          <w:trHeight w:val="1577"/>
        </w:trPr>
        <w:tc>
          <w:tcPr>
            <w:tcW w:w="443" w:type="pct"/>
            <w:vAlign w:val="center"/>
            <w:vMerge w:val="restart"/>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w:t>
            </w:r>
            <w:r/>
          </w:p>
        </w:tc>
        <w:tc>
          <w:tcPr>
            <w:tcW w:w="571" w:type="pct"/>
            <w:vAlign w:val="center"/>
            <w:vMerge w:val="restart"/>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firstLine="0"/>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企业实力（36分）</w:t>
            </w:r>
            <w:r/>
          </w:p>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589"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企业认证</w:t>
            </w:r>
            <w:r/>
          </w:p>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（8分）</w:t>
            </w:r>
            <w:r/>
          </w:p>
        </w:tc>
        <w:tc>
          <w:tcPr>
            <w:tcW w:w="3394" w:type="pct"/>
            <w:vAlign w:val="center"/>
            <w:textDirection w:val="lrTb"/>
            <w:noWrap w:val="false"/>
          </w:tcPr>
          <w:p>
            <w:pPr>
              <w:ind w:firstLine="0"/>
              <w:jc w:val="left"/>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投标人</w:t>
            </w:r>
            <w:r>
              <w:rPr>
                <w:rFonts w:hint="eastAsia" w:ascii="仿宋" w:hAnsi="仿宋" w:eastAsia="仿宋" w:cs="仿宋"/>
                <w:color w:val="auto"/>
                <w:sz w:val="21"/>
                <w:szCs w:val="21"/>
                <w:highlight w:val="none"/>
                <w:lang w:bidi="ar"/>
              </w:rPr>
              <w:t xml:space="preserve">（或其出资人</w:t>
            </w:r>
            <w:r>
              <w:rPr>
                <w:rFonts w:hint="eastAsia" w:ascii="仿宋" w:hAnsi="仿宋" w:eastAsia="仿宋" w:cs="仿宋"/>
                <w:color w:val="auto"/>
                <w:sz w:val="21"/>
                <w:szCs w:val="21"/>
                <w:highlight w:val="none"/>
                <w:lang w:val="en-US" w:eastAsia="zh-CN" w:bidi="ar"/>
              </w:rPr>
              <w:t xml:space="preserve">或</w:t>
            </w:r>
            <w:r>
              <w:rPr>
                <w:rFonts w:hint="eastAsia" w:ascii="仿宋" w:hAnsi="仿宋" w:eastAsia="仿宋" w:cs="仿宋"/>
                <w:color w:val="auto"/>
                <w:sz w:val="21"/>
                <w:szCs w:val="21"/>
                <w:highlight w:val="none"/>
                <w:lang w:val="zh-CN"/>
              </w:rPr>
              <w:t xml:space="preserve">投标人母公司</w:t>
            </w:r>
            <w:r>
              <w:rPr>
                <w:rFonts w:hint="eastAsia" w:ascii="仿宋" w:hAnsi="仿宋" w:eastAsia="仿宋" w:cs="仿宋"/>
                <w:color w:val="auto"/>
                <w:sz w:val="21"/>
                <w:szCs w:val="21"/>
                <w:lang w:bidi="ar"/>
              </w:rPr>
              <w:t xml:space="preserve">）具有中国人民银行（或者其业务主管中国银行间市场交易商协会）或者国家发展和改革委员会或者国家财政部门或者中国银保监会（或受其领导的中国保险资产管理业协会或中国证券业协会）或者中国证券监督管理委员会公布的最近一期信用评级机构排名前10名的信用评价机构作出的最近一期信用评级：</w:t>
            </w:r>
            <w:r/>
          </w:p>
          <w:p>
            <w:pPr>
              <w:ind w:firstLine="0"/>
              <w:jc w:val="left"/>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（1）AA级及以上得8.0分；</w:t>
            </w:r>
            <w:r/>
          </w:p>
          <w:p>
            <w:pPr>
              <w:ind w:firstLine="0"/>
              <w:jc w:val="left"/>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（2）A级及以上得6.0分；</w:t>
            </w:r>
            <w:r/>
          </w:p>
          <w:p>
            <w:pPr>
              <w:ind w:firstLine="0"/>
              <w:jc w:val="left"/>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（3）B级及以上得4.0分；</w:t>
            </w:r>
            <w:r/>
          </w:p>
          <w:p>
            <w:pPr>
              <w:ind w:firstLine="0"/>
              <w:jc w:val="left"/>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（4）C级及以上得2.0分；</w:t>
            </w:r>
            <w:r/>
          </w:p>
          <w:p>
            <w:pPr>
              <w:ind w:firstLine="0"/>
              <w:jc w:val="left"/>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（5）D级及以下得0.0分。</w:t>
            </w:r>
            <w:r/>
          </w:p>
          <w:p>
            <w:pPr>
              <w:ind w:firstLine="0"/>
              <w:jc w:val="left"/>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注：（1）</w:t>
            </w:r>
            <w:r>
              <w:rPr>
                <w:rFonts w:hint="eastAsia" w:ascii="仿宋" w:hAnsi="仿宋" w:eastAsia="仿宋" w:cs="仿宋"/>
                <w:color w:val="auto"/>
                <w:sz w:val="21"/>
                <w:szCs w:val="21"/>
                <w:lang w:val="en-US" w:eastAsia="zh-CN" w:bidi="ar"/>
              </w:rPr>
              <w:t xml:space="preserve">投标时</w:t>
            </w:r>
            <w:r>
              <w:rPr>
                <w:rFonts w:hint="eastAsia" w:ascii="仿宋" w:hAnsi="仿宋" w:eastAsia="仿宋" w:cs="仿宋"/>
                <w:color w:val="auto"/>
                <w:sz w:val="21"/>
                <w:szCs w:val="21"/>
                <w:lang w:bidi="ar"/>
              </w:rPr>
              <w:t xml:space="preserve">提供中国人民银行（或者其业务主管中国银行间市场交易商协会）或者国家发展和改革委员会或者国家财政部门或者中国银保监会（或受其领导的中国保险资产管理业协会或中国证券业协会）或者中国证券监督管理委员会对信用评价机构的评价结果证明文件（可以提供证明文件或相应官方网站公示文件）；</w:t>
            </w:r>
            <w:r/>
          </w:p>
          <w:p>
            <w:pPr>
              <w:ind w:firstLine="0"/>
              <w:jc w:val="left"/>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rPr>
                <w:rFonts w:hint="eastAsia" w:ascii="仿宋" w:hAnsi="仿宋" w:eastAsia="仿宋" w:cs="仿宋"/>
                <w:color w:val="auto"/>
                <w:sz w:val="21"/>
                <w:szCs w:val="21"/>
                <w:lang w:val="en-US" w:eastAsia="zh-CN" w:bidi="ar"/>
              </w:rPr>
              <w:t xml:space="preserve">投标时</w:t>
            </w:r>
            <w:r>
              <w:rPr>
                <w:rFonts w:hint="eastAsia" w:ascii="仿宋" w:hAnsi="仿宋" w:eastAsia="仿宋" w:cs="仿宋"/>
                <w:color w:val="auto"/>
                <w:sz w:val="21"/>
                <w:szCs w:val="21"/>
                <w:lang w:bidi="ar"/>
              </w:rPr>
              <w:t xml:space="preserve">提供信用评价机构对投标人</w:t>
            </w:r>
            <w:r>
              <w:rPr>
                <w:rFonts w:hint="eastAsia" w:ascii="仿宋" w:hAnsi="仿宋" w:eastAsia="仿宋" w:cs="仿宋"/>
                <w:color w:val="auto"/>
                <w:sz w:val="21"/>
                <w:szCs w:val="21"/>
                <w:highlight w:val="none"/>
                <w:lang w:bidi="ar"/>
              </w:rPr>
              <w:t xml:space="preserve">（或其出资人</w:t>
            </w:r>
            <w:r>
              <w:rPr>
                <w:rFonts w:hint="eastAsia" w:ascii="仿宋" w:hAnsi="仿宋" w:eastAsia="仿宋" w:cs="仿宋"/>
                <w:color w:val="auto"/>
                <w:sz w:val="21"/>
                <w:szCs w:val="21"/>
                <w:highlight w:val="none"/>
                <w:lang w:val="en-US" w:eastAsia="zh-CN" w:bidi="ar"/>
              </w:rPr>
              <w:t xml:space="preserve">或</w:t>
            </w:r>
            <w:r>
              <w:rPr>
                <w:rFonts w:hint="eastAsia" w:ascii="仿宋" w:hAnsi="仿宋" w:eastAsia="仿宋" w:cs="仿宋"/>
                <w:color w:val="auto"/>
                <w:sz w:val="21"/>
                <w:szCs w:val="21"/>
                <w:highlight w:val="none"/>
                <w:lang w:val="zh-CN"/>
              </w:rPr>
              <w:t xml:space="preserve">投标人母公司</w:t>
            </w:r>
            <w:r>
              <w:rPr>
                <w:rFonts w:hint="eastAsia" w:ascii="仿宋" w:hAnsi="仿宋" w:eastAsia="仿宋" w:cs="仿宋"/>
                <w:color w:val="auto"/>
                <w:sz w:val="21"/>
                <w:szCs w:val="21"/>
                <w:lang w:bidi="ar"/>
              </w:rPr>
              <w:t xml:space="preserve">）作出的信用评价报告。</w:t>
            </w:r>
            <w:r/>
          </w:p>
        </w:tc>
      </w:tr>
      <w:tr>
        <w:trPr>
          <w:jc w:val="center"/>
          <w:trHeight w:val="987"/>
        </w:trPr>
        <w:tc>
          <w:tcPr>
            <w:tcW w:w="443" w:type="pct"/>
            <w:vAlign w:val="center"/>
            <w:vMerge w:val="continue"/>
            <w:textDirection w:val="lrTb"/>
            <w:noWrap w:val="false"/>
          </w:tcPr>
          <w:p>
            <w:pPr>
              <w:ind w:firstLine="0"/>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571" w:type="pct"/>
            <w:vAlign w:val="center"/>
            <w:vMerge w:val="continue"/>
            <w:textDirection w:val="lrTb"/>
            <w:noWrap w:val="false"/>
          </w:tcPr>
          <w:p>
            <w:pPr>
              <w:ind w:firstLine="0"/>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589"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企业业绩</w:t>
            </w:r>
            <w:r/>
          </w:p>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（10分）</w:t>
            </w:r>
            <w:r/>
          </w:p>
        </w:tc>
        <w:tc>
          <w:tcPr>
            <w:tcW w:w="3394" w:type="pct"/>
            <w:vAlign w:val="center"/>
            <w:textDirection w:val="lrTb"/>
            <w:noWrap w:val="false"/>
          </w:tcPr>
          <w:p>
            <w:pPr>
              <w:ind w:firstLine="0"/>
              <w:jc w:val="left"/>
              <w:keepLines w:val="0"/>
              <w:keepNext w:val="0"/>
              <w:pageBreakBefore w:val="0"/>
              <w:spacing w:line="440" w:lineRule="exact"/>
              <w:widowControl w:val="off"/>
              <w:rPr>
                <w:rFonts w:hint="eastAsia" w:ascii="仿宋" w:hAnsi="仿宋" w:eastAsia="仿宋" w:cs="仿宋"/>
                <w:color w:val="auto"/>
                <w:sz w:val="21"/>
                <w:szCs w:val="21"/>
                <w:lang w:val="zh-CN"/>
              </w:rPr>
            </w:pPr>
            <w:r/>
            <w:bookmarkStart w:id="174" w:name="_Hlk1378531"/>
            <w:r>
              <w:rPr>
                <w:rFonts w:hint="eastAsia" w:ascii="仿宋" w:hAnsi="仿宋" w:eastAsia="仿宋" w:cs="仿宋"/>
                <w:color w:val="auto"/>
                <w:sz w:val="21"/>
                <w:szCs w:val="21"/>
                <w:lang w:val="zh-CN"/>
              </w:rPr>
              <w:t xml:space="preserve">根据投标人或投标人母公司或隶属的投标人母公司的同一集团各兄弟公司提供的民生项目投资建设规模业绩评审计分：</w:t>
            </w:r>
            <w:bookmarkEnd w:id="174"/>
            <w:r/>
            <w:r/>
          </w:p>
          <w:p>
            <w:pPr>
              <w:ind w:firstLine="0"/>
              <w:jc w:val="left"/>
              <w:keepLines w:val="0"/>
              <w:keepNext w:val="0"/>
              <w:pageBreakBefore w:val="0"/>
              <w:spacing w:line="440" w:lineRule="exact"/>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近5年发包业绩</w:t>
            </w:r>
            <w:r>
              <w:rPr>
                <w:rFonts w:hint="eastAsia" w:ascii="仿宋" w:hAnsi="仿宋" w:eastAsia="仿宋" w:cs="仿宋"/>
                <w:color w:val="auto"/>
                <w:sz w:val="21"/>
                <w:szCs w:val="21"/>
              </w:rPr>
              <w:t xml:space="preserve">金</w:t>
            </w:r>
            <w:r>
              <w:rPr>
                <w:rFonts w:hint="eastAsia" w:ascii="仿宋" w:hAnsi="仿宋" w:eastAsia="仿宋" w:cs="仿宋"/>
                <w:color w:val="auto"/>
                <w:sz w:val="21"/>
                <w:szCs w:val="21"/>
                <w:lang w:val="zh-CN"/>
              </w:rPr>
              <w:t xml:space="preserve">额X：</w:t>
            </w:r>
            <w:r/>
          </w:p>
          <w:tbl>
            <w:tblPr>
              <w:tblStyle w:val="7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80"/>
              <w:gridCol w:w="3031"/>
            </w:tblGrid>
            <w:tr>
              <w:trPr>
                <w:trHeight w:val="340"/>
              </w:trPr>
              <w:tc>
                <w:tcPr>
                  <w:tcW w:w="2672"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X≥50亿元</w:t>
                  </w:r>
                  <w:r/>
                </w:p>
              </w:tc>
              <w:tc>
                <w:tcPr>
                  <w:tcW w:w="2327"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得</w:t>
                  </w:r>
                  <w:r>
                    <w:rPr>
                      <w:rFonts w:hint="eastAsia" w:ascii="仿宋" w:hAnsi="仿宋" w:eastAsia="仿宋" w:cs="仿宋"/>
                      <w:color w:val="auto"/>
                      <w:sz w:val="21"/>
                      <w:szCs w:val="21"/>
                    </w:rPr>
                    <w:t xml:space="preserve">10.0</w:t>
                  </w:r>
                  <w:r>
                    <w:rPr>
                      <w:rFonts w:hint="eastAsia" w:ascii="仿宋" w:hAnsi="仿宋" w:eastAsia="仿宋" w:cs="仿宋"/>
                      <w:color w:val="auto"/>
                      <w:sz w:val="21"/>
                      <w:szCs w:val="21"/>
                      <w:lang w:val="zh-CN"/>
                    </w:rPr>
                    <w:t xml:space="preserve">分</w:t>
                  </w:r>
                  <w:r/>
                </w:p>
              </w:tc>
            </w:tr>
            <w:tr>
              <w:trPr>
                <w:trHeight w:val="340"/>
              </w:trPr>
              <w:tc>
                <w:tcPr>
                  <w:tcW w:w="2672"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rPr>
                    <w:t xml:space="preserve">4</w:t>
                  </w:r>
                  <w:r>
                    <w:rPr>
                      <w:rFonts w:hint="eastAsia" w:ascii="仿宋" w:hAnsi="仿宋" w:eastAsia="仿宋" w:cs="仿宋"/>
                      <w:color w:val="auto"/>
                      <w:sz w:val="21"/>
                      <w:szCs w:val="21"/>
                      <w:lang w:val="zh-CN"/>
                    </w:rPr>
                    <w:t xml:space="preserve">0亿元≤X＜50亿元</w:t>
                  </w:r>
                  <w:r/>
                </w:p>
              </w:tc>
              <w:tc>
                <w:tcPr>
                  <w:tcW w:w="2327"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得</w:t>
                  </w:r>
                  <w:r>
                    <w:rPr>
                      <w:rFonts w:hint="eastAsia" w:ascii="仿宋" w:hAnsi="仿宋" w:eastAsia="仿宋" w:cs="仿宋"/>
                      <w:color w:val="auto"/>
                      <w:sz w:val="21"/>
                      <w:szCs w:val="21"/>
                    </w:rPr>
                    <w:t xml:space="preserve">8.0</w:t>
                  </w:r>
                  <w:r>
                    <w:rPr>
                      <w:rFonts w:hint="eastAsia" w:ascii="仿宋" w:hAnsi="仿宋" w:eastAsia="仿宋" w:cs="仿宋"/>
                      <w:color w:val="auto"/>
                      <w:sz w:val="21"/>
                      <w:szCs w:val="21"/>
                      <w:lang w:val="zh-CN"/>
                    </w:rPr>
                    <w:t xml:space="preserve">分</w:t>
                  </w:r>
                  <w:r/>
                </w:p>
              </w:tc>
            </w:tr>
            <w:tr>
              <w:trPr>
                <w:trHeight w:val="340"/>
              </w:trPr>
              <w:tc>
                <w:tcPr>
                  <w:tcW w:w="2672"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rPr>
                    <w:t xml:space="preserve">30</w:t>
                  </w:r>
                  <w:r>
                    <w:rPr>
                      <w:rFonts w:hint="eastAsia" w:ascii="仿宋" w:hAnsi="仿宋" w:eastAsia="仿宋" w:cs="仿宋"/>
                      <w:color w:val="auto"/>
                      <w:sz w:val="21"/>
                      <w:szCs w:val="21"/>
                      <w:lang w:val="zh-CN"/>
                    </w:rPr>
                    <w:t xml:space="preserve">亿元≤X＜</w:t>
                  </w:r>
                  <w:r>
                    <w:rPr>
                      <w:rFonts w:hint="eastAsia" w:ascii="仿宋" w:hAnsi="仿宋" w:eastAsia="仿宋" w:cs="仿宋"/>
                      <w:color w:val="auto"/>
                      <w:sz w:val="21"/>
                      <w:szCs w:val="21"/>
                    </w:rPr>
                    <w:t xml:space="preserve">4</w:t>
                  </w:r>
                  <w:r>
                    <w:rPr>
                      <w:rFonts w:hint="eastAsia" w:ascii="仿宋" w:hAnsi="仿宋" w:eastAsia="仿宋" w:cs="仿宋"/>
                      <w:color w:val="auto"/>
                      <w:sz w:val="21"/>
                      <w:szCs w:val="21"/>
                      <w:lang w:val="zh-CN"/>
                    </w:rPr>
                    <w:t xml:space="preserve">0亿元</w:t>
                  </w:r>
                  <w:r/>
                </w:p>
              </w:tc>
              <w:tc>
                <w:tcPr>
                  <w:tcW w:w="2327"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得</w:t>
                  </w:r>
                  <w:r>
                    <w:rPr>
                      <w:rFonts w:hint="eastAsia" w:ascii="仿宋" w:hAnsi="仿宋" w:eastAsia="仿宋" w:cs="仿宋"/>
                      <w:color w:val="auto"/>
                      <w:sz w:val="21"/>
                      <w:szCs w:val="21"/>
                    </w:rPr>
                    <w:t xml:space="preserve">6.0</w:t>
                  </w:r>
                  <w:r>
                    <w:rPr>
                      <w:rFonts w:hint="eastAsia" w:ascii="仿宋" w:hAnsi="仿宋" w:eastAsia="仿宋" w:cs="仿宋"/>
                      <w:color w:val="auto"/>
                      <w:sz w:val="21"/>
                      <w:szCs w:val="21"/>
                      <w:lang w:val="zh-CN"/>
                    </w:rPr>
                    <w:t xml:space="preserve">分</w:t>
                  </w:r>
                  <w:r/>
                </w:p>
              </w:tc>
            </w:tr>
            <w:tr>
              <w:trPr>
                <w:trHeight w:val="340"/>
              </w:trPr>
              <w:tc>
                <w:tcPr>
                  <w:tcW w:w="2672"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rPr>
                    <w:t xml:space="preserve">20</w:t>
                  </w:r>
                  <w:r>
                    <w:rPr>
                      <w:rFonts w:hint="eastAsia" w:ascii="仿宋" w:hAnsi="仿宋" w:eastAsia="仿宋" w:cs="仿宋"/>
                      <w:color w:val="auto"/>
                      <w:sz w:val="21"/>
                      <w:szCs w:val="21"/>
                      <w:lang w:val="zh-CN"/>
                    </w:rPr>
                    <w:t xml:space="preserve">亿元≤X＜30亿元</w:t>
                  </w:r>
                  <w:r/>
                </w:p>
              </w:tc>
              <w:tc>
                <w:tcPr>
                  <w:tcW w:w="2327"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得</w:t>
                  </w:r>
                  <w:r>
                    <w:rPr>
                      <w:rFonts w:hint="eastAsia" w:ascii="仿宋" w:hAnsi="仿宋" w:eastAsia="仿宋" w:cs="仿宋"/>
                      <w:color w:val="auto"/>
                      <w:sz w:val="21"/>
                      <w:szCs w:val="21"/>
                    </w:rPr>
                    <w:t xml:space="preserve">4.0</w:t>
                  </w:r>
                  <w:r>
                    <w:rPr>
                      <w:rFonts w:hint="eastAsia" w:ascii="仿宋" w:hAnsi="仿宋" w:eastAsia="仿宋" w:cs="仿宋"/>
                      <w:color w:val="auto"/>
                      <w:sz w:val="21"/>
                      <w:szCs w:val="21"/>
                      <w:lang w:val="zh-CN"/>
                    </w:rPr>
                    <w:t xml:space="preserve">分</w:t>
                  </w:r>
                  <w:r/>
                </w:p>
              </w:tc>
            </w:tr>
            <w:tr>
              <w:trPr>
                <w:trHeight w:val="340"/>
              </w:trPr>
              <w:tc>
                <w:tcPr>
                  <w:tcW w:w="2672"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10亿元≤X＜</w:t>
                  </w:r>
                  <w:r>
                    <w:rPr>
                      <w:rFonts w:hint="eastAsia" w:ascii="仿宋" w:hAnsi="仿宋" w:eastAsia="仿宋" w:cs="仿宋"/>
                      <w:color w:val="auto"/>
                      <w:sz w:val="21"/>
                      <w:szCs w:val="21"/>
                    </w:rPr>
                    <w:t xml:space="preserve">20</w:t>
                  </w:r>
                  <w:r>
                    <w:rPr>
                      <w:rFonts w:hint="eastAsia" w:ascii="仿宋" w:hAnsi="仿宋" w:eastAsia="仿宋" w:cs="仿宋"/>
                      <w:color w:val="auto"/>
                      <w:sz w:val="21"/>
                      <w:szCs w:val="21"/>
                      <w:lang w:val="zh-CN"/>
                    </w:rPr>
                    <w:t xml:space="preserve">亿元</w:t>
                  </w:r>
                  <w:r/>
                </w:p>
              </w:tc>
              <w:tc>
                <w:tcPr>
                  <w:tcW w:w="2327"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得</w:t>
                  </w:r>
                  <w:r>
                    <w:rPr>
                      <w:rFonts w:hint="eastAsia" w:ascii="仿宋" w:hAnsi="仿宋" w:eastAsia="仿宋" w:cs="仿宋"/>
                      <w:color w:val="auto"/>
                      <w:sz w:val="21"/>
                      <w:szCs w:val="21"/>
                    </w:rPr>
                    <w:t xml:space="preserve">2.0</w:t>
                  </w:r>
                  <w:r>
                    <w:rPr>
                      <w:rFonts w:hint="eastAsia" w:ascii="仿宋" w:hAnsi="仿宋" w:eastAsia="仿宋" w:cs="仿宋"/>
                      <w:color w:val="auto"/>
                      <w:sz w:val="21"/>
                      <w:szCs w:val="21"/>
                      <w:lang w:val="zh-CN"/>
                    </w:rPr>
                    <w:t xml:space="preserve">分</w:t>
                  </w:r>
                  <w:r/>
                </w:p>
              </w:tc>
            </w:tr>
            <w:tr>
              <w:trPr>
                <w:trHeight w:val="340"/>
              </w:trPr>
              <w:tc>
                <w:tcPr>
                  <w:tcW w:w="2672"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X＜10亿元</w:t>
                  </w:r>
                  <w:r/>
                </w:p>
              </w:tc>
              <w:tc>
                <w:tcPr>
                  <w:tcW w:w="2327" w:type="pct"/>
                  <w:vAlign w:val="top"/>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得0</w:t>
                  </w:r>
                  <w:r>
                    <w:rPr>
                      <w:rFonts w:hint="eastAsia" w:ascii="仿宋" w:hAnsi="仿宋" w:eastAsia="仿宋" w:cs="仿宋"/>
                      <w:color w:val="auto"/>
                      <w:sz w:val="21"/>
                      <w:szCs w:val="21"/>
                    </w:rPr>
                    <w:t xml:space="preserve">.0</w:t>
                  </w:r>
                  <w:r>
                    <w:rPr>
                      <w:rFonts w:hint="eastAsia" w:ascii="仿宋" w:hAnsi="仿宋" w:eastAsia="仿宋" w:cs="仿宋"/>
                      <w:color w:val="auto"/>
                      <w:sz w:val="21"/>
                      <w:szCs w:val="21"/>
                      <w:lang w:val="zh-CN"/>
                    </w:rPr>
                    <w:t xml:space="preserve">分</w:t>
                  </w:r>
                  <w:r/>
                </w:p>
              </w:tc>
            </w:tr>
          </w:tbl>
          <w:p>
            <w:pPr>
              <w:ind w:firstLine="0"/>
              <w:jc w:val="left"/>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zh-CN"/>
              </w:rPr>
              <w:t xml:space="preserve">业绩证明材料：包含</w:t>
            </w:r>
            <w:r>
              <w:rPr>
                <w:rFonts w:hint="eastAsia" w:ascii="仿宋" w:hAnsi="仿宋" w:eastAsia="仿宋" w:cs="仿宋"/>
                <w:color w:val="auto"/>
                <w:sz w:val="21"/>
                <w:szCs w:val="21"/>
              </w:rPr>
              <w:t xml:space="preserve">发包公告或</w:t>
            </w:r>
            <w:r>
              <w:rPr>
                <w:rFonts w:hint="eastAsia" w:ascii="仿宋" w:hAnsi="仿宋" w:eastAsia="仿宋" w:cs="仿宋"/>
                <w:color w:val="auto"/>
                <w:sz w:val="21"/>
                <w:szCs w:val="21"/>
                <w:lang w:val="zh-CN"/>
              </w:rPr>
              <w:t xml:space="preserve">合同或项目业主方出具的证明文件等】。</w:t>
            </w:r>
            <w:r/>
          </w:p>
        </w:tc>
      </w:tr>
      <w:tr>
        <w:trPr>
          <w:jc w:val="center"/>
          <w:trHeight w:val="2354"/>
        </w:trPr>
        <w:tc>
          <w:tcPr>
            <w:tcW w:w="443" w:type="pct"/>
            <w:vAlign w:val="center"/>
            <w:vMerge w:val="continue"/>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571" w:type="pct"/>
            <w:vAlign w:val="center"/>
            <w:vMerge w:val="continue"/>
            <w:textDirection w:val="lrTb"/>
            <w:noWrap w:val="false"/>
          </w:tcPr>
          <w:p>
            <w:pPr>
              <w:ind w:firstLine="0"/>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589"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净资产           </w:t>
            </w:r>
            <w:r/>
          </w:p>
          <w:p>
            <w:pPr>
              <w:ind w:firstLine="0"/>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（10分）</w:t>
            </w:r>
            <w:r/>
          </w:p>
        </w:tc>
        <w:tc>
          <w:tcPr>
            <w:tcW w:w="3394" w:type="pct"/>
            <w:vAlign w:val="center"/>
            <w:textDirection w:val="lrTb"/>
            <w:noWrap w:val="false"/>
          </w:tcPr>
          <w:p>
            <w:pPr>
              <w:ind w:firstLine="0"/>
              <w:jc w:val="both"/>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zh-CN" w:eastAsia="zh-CN" w:bidi="ar-SA"/>
              </w:rPr>
              <w:t xml:space="preserve">根据投标人（或其母公司）提供的经审计的</w:t>
            </w:r>
            <w:r>
              <w:rPr>
                <w:rFonts w:hint="eastAsia" w:ascii="仿宋" w:hAnsi="仿宋" w:eastAsia="仿宋" w:cs="仿宋"/>
                <w:color w:val="auto"/>
                <w:sz w:val="21"/>
                <w:szCs w:val="21"/>
                <w:lang w:val="zh-CN" w:eastAsia="zh-CN" w:bidi="ar-SA"/>
              </w:rPr>
              <w:t xml:space="preserve">202</w:t>
            </w:r>
            <w:r>
              <w:rPr>
                <w:rFonts w:hint="eastAsia" w:ascii="仿宋" w:hAnsi="仿宋" w:eastAsia="仿宋" w:cs="仿宋"/>
                <w:color w:val="auto"/>
                <w:sz w:val="21"/>
                <w:szCs w:val="21"/>
                <w:lang w:val="en-US" w:eastAsia="zh-CN" w:bidi="ar-SA"/>
              </w:rPr>
              <w:t xml:space="preserve">4</w:t>
            </w:r>
            <w:r>
              <w:rPr>
                <w:rFonts w:hint="eastAsia" w:ascii="仿宋" w:hAnsi="仿宋" w:eastAsia="仿宋" w:cs="仿宋"/>
                <w:color w:val="auto"/>
                <w:sz w:val="21"/>
                <w:szCs w:val="21"/>
                <w:lang w:val="zh-CN" w:eastAsia="zh-CN" w:bidi="ar-SA"/>
              </w:rPr>
              <w:t xml:space="preserve">年度</w:t>
            </w:r>
            <w:r>
              <w:rPr>
                <w:rFonts w:hint="eastAsia" w:ascii="仿宋" w:hAnsi="仿宋" w:eastAsia="仿宋" w:cs="仿宋"/>
                <w:color w:val="auto"/>
                <w:sz w:val="21"/>
                <w:szCs w:val="21"/>
                <w:lang w:val="zh-CN" w:eastAsia="zh-CN" w:bidi="ar-SA"/>
              </w:rPr>
              <w:t xml:space="preserve">财务报告中的企业净资产按以下标准评审计分:</w:t>
            </w:r>
            <w:r/>
          </w:p>
          <w:tbl>
            <w:tblPr>
              <w:tblStyle w:val="7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0"/>
              <w:gridCol w:w="3021"/>
            </w:tblGrid>
            <w:tr>
              <w:trPr>
                <w:trHeight w:val="312"/>
              </w:trPr>
              <w:tc>
                <w:tcPr>
                  <w:tcW w:w="2680"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zh-CN" w:eastAsia="zh-CN" w:bidi="ar-SA"/>
                    </w:rPr>
                    <w:t xml:space="preserve">净资产</w:t>
                  </w:r>
                  <w:r/>
                </w:p>
              </w:tc>
              <w:tc>
                <w:tcPr>
                  <w:tcW w:w="2319"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zh-CN" w:eastAsia="zh-CN" w:bidi="ar-SA"/>
                    </w:rPr>
                    <w:t xml:space="preserve">评分标准</w:t>
                  </w:r>
                  <w:r/>
                </w:p>
              </w:tc>
            </w:tr>
            <w:tr>
              <w:trPr>
                <w:trHeight w:val="312"/>
              </w:trPr>
              <w:tc>
                <w:tcPr>
                  <w:tcW w:w="2680"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zh-CN" w:eastAsia="zh-CN" w:bidi="ar-SA"/>
                    </w:rPr>
                    <w:t xml:space="preserve">净资产＜</w:t>
                  </w:r>
                  <w:r>
                    <w:rPr>
                      <w:rFonts w:hint="eastAsia" w:ascii="仿宋" w:hAnsi="仿宋" w:eastAsia="仿宋" w:cs="仿宋"/>
                      <w:color w:val="auto"/>
                      <w:sz w:val="21"/>
                      <w:szCs w:val="21"/>
                      <w:lang w:val="en-US" w:eastAsia="zh-CN" w:bidi="ar-SA"/>
                    </w:rPr>
                    <w:t xml:space="preserve">10</w:t>
                  </w:r>
                  <w:r>
                    <w:rPr>
                      <w:rFonts w:hint="eastAsia" w:ascii="仿宋" w:hAnsi="仿宋" w:eastAsia="仿宋" w:cs="仿宋"/>
                      <w:color w:val="auto"/>
                      <w:sz w:val="21"/>
                      <w:szCs w:val="21"/>
                      <w:lang w:val="zh-CN" w:eastAsia="zh-CN" w:bidi="ar-SA"/>
                    </w:rPr>
                    <w:t xml:space="preserve">亿元</w:t>
                  </w:r>
                  <w:r/>
                </w:p>
              </w:tc>
              <w:tc>
                <w:tcPr>
                  <w:tcW w:w="2319"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zh-CN" w:eastAsia="zh-CN" w:bidi="ar-SA"/>
                    </w:rPr>
                    <w:t xml:space="preserve">0</w:t>
                  </w:r>
                  <w:r>
                    <w:rPr>
                      <w:rFonts w:hint="eastAsia" w:ascii="仿宋" w:hAnsi="仿宋" w:eastAsia="仿宋" w:cs="仿宋"/>
                      <w:color w:val="auto"/>
                      <w:sz w:val="21"/>
                      <w:szCs w:val="21"/>
                      <w:lang w:val="en-US" w:eastAsia="zh-CN" w:bidi="ar-SA"/>
                    </w:rPr>
                    <w:t xml:space="preserve">.0</w:t>
                  </w:r>
                  <w:r>
                    <w:rPr>
                      <w:rFonts w:hint="eastAsia" w:ascii="仿宋" w:hAnsi="仿宋" w:eastAsia="仿宋" w:cs="仿宋"/>
                      <w:color w:val="auto"/>
                      <w:sz w:val="21"/>
                      <w:szCs w:val="21"/>
                      <w:lang w:val="zh-CN" w:eastAsia="zh-CN" w:bidi="ar-SA"/>
                    </w:rPr>
                    <w:t xml:space="preserve">分</w:t>
                  </w:r>
                  <w:r/>
                </w:p>
              </w:tc>
            </w:tr>
            <w:tr>
              <w:trPr>
                <w:trHeight w:val="312"/>
              </w:trPr>
              <w:tc>
                <w:tcPr>
                  <w:tcW w:w="2680"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en-US" w:eastAsia="zh-CN" w:bidi="ar-SA"/>
                    </w:rPr>
                    <w:t xml:space="preserve">1</w:t>
                  </w:r>
                  <w:r>
                    <w:rPr>
                      <w:rFonts w:hint="eastAsia" w:ascii="仿宋" w:hAnsi="仿宋" w:eastAsia="仿宋" w:cs="仿宋"/>
                      <w:color w:val="auto"/>
                      <w:sz w:val="21"/>
                      <w:szCs w:val="21"/>
                      <w:lang w:val="zh-CN" w:eastAsia="zh-CN" w:bidi="ar-SA"/>
                    </w:rPr>
                    <w:t xml:space="preserve">0亿元≤净资产＜</w:t>
                  </w:r>
                  <w:r>
                    <w:rPr>
                      <w:rFonts w:hint="eastAsia" w:ascii="仿宋" w:hAnsi="仿宋" w:eastAsia="仿宋" w:cs="仿宋"/>
                      <w:color w:val="auto"/>
                      <w:sz w:val="21"/>
                      <w:szCs w:val="21"/>
                      <w:lang w:val="en-US" w:eastAsia="zh-CN" w:bidi="ar-SA"/>
                    </w:rPr>
                    <w:t xml:space="preserve">15</w:t>
                  </w:r>
                  <w:r>
                    <w:rPr>
                      <w:rFonts w:hint="eastAsia" w:ascii="仿宋" w:hAnsi="仿宋" w:eastAsia="仿宋" w:cs="仿宋"/>
                      <w:color w:val="auto"/>
                      <w:sz w:val="21"/>
                      <w:szCs w:val="21"/>
                      <w:lang w:val="zh-CN" w:eastAsia="zh-CN" w:bidi="ar-SA"/>
                    </w:rPr>
                    <w:t xml:space="preserve">亿元</w:t>
                  </w:r>
                  <w:r/>
                </w:p>
              </w:tc>
              <w:tc>
                <w:tcPr>
                  <w:tcW w:w="2319"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en-US" w:eastAsia="zh-CN" w:bidi="ar-SA"/>
                    </w:rPr>
                    <w:t xml:space="preserve">2.0</w:t>
                  </w:r>
                  <w:r>
                    <w:rPr>
                      <w:rFonts w:hint="eastAsia" w:ascii="仿宋" w:hAnsi="仿宋" w:eastAsia="仿宋" w:cs="仿宋"/>
                      <w:color w:val="auto"/>
                      <w:sz w:val="21"/>
                      <w:szCs w:val="21"/>
                      <w:lang w:val="zh-CN" w:eastAsia="zh-CN" w:bidi="ar-SA"/>
                    </w:rPr>
                    <w:t xml:space="preserve">分</w:t>
                  </w:r>
                  <w:r/>
                </w:p>
              </w:tc>
            </w:tr>
            <w:tr>
              <w:trPr>
                <w:trHeight w:val="312"/>
              </w:trPr>
              <w:tc>
                <w:tcPr>
                  <w:tcW w:w="2680"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en-US" w:eastAsia="zh-CN" w:bidi="ar-SA"/>
                    </w:rPr>
                    <w:t xml:space="preserve">15</w:t>
                  </w:r>
                  <w:r>
                    <w:rPr>
                      <w:rFonts w:hint="eastAsia" w:ascii="仿宋" w:hAnsi="仿宋" w:eastAsia="仿宋" w:cs="仿宋"/>
                      <w:color w:val="auto"/>
                      <w:sz w:val="21"/>
                      <w:szCs w:val="21"/>
                      <w:lang w:val="zh-CN" w:eastAsia="zh-CN" w:bidi="ar-SA"/>
                    </w:rPr>
                    <w:t xml:space="preserve">亿元≤净资产＜</w:t>
                  </w:r>
                  <w:r>
                    <w:rPr>
                      <w:rFonts w:hint="eastAsia" w:ascii="仿宋" w:hAnsi="仿宋" w:eastAsia="仿宋" w:cs="仿宋"/>
                      <w:color w:val="auto"/>
                      <w:sz w:val="21"/>
                      <w:szCs w:val="21"/>
                      <w:lang w:val="en-US" w:eastAsia="zh-CN" w:bidi="ar-SA"/>
                    </w:rPr>
                    <w:t xml:space="preserve">2</w:t>
                  </w:r>
                  <w:r>
                    <w:rPr>
                      <w:rFonts w:hint="eastAsia" w:ascii="仿宋" w:hAnsi="仿宋" w:eastAsia="仿宋" w:cs="仿宋"/>
                      <w:color w:val="auto"/>
                      <w:sz w:val="21"/>
                      <w:szCs w:val="21"/>
                      <w:lang w:val="zh-CN" w:eastAsia="zh-CN" w:bidi="ar-SA"/>
                    </w:rPr>
                    <w:t xml:space="preserve">0亿元</w:t>
                  </w:r>
                  <w:r/>
                </w:p>
              </w:tc>
              <w:tc>
                <w:tcPr>
                  <w:tcW w:w="2319"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en-US" w:eastAsia="zh-CN" w:bidi="ar-SA"/>
                    </w:rPr>
                    <w:t xml:space="preserve">4.0</w:t>
                  </w:r>
                  <w:r>
                    <w:rPr>
                      <w:rFonts w:hint="eastAsia" w:ascii="仿宋" w:hAnsi="仿宋" w:eastAsia="仿宋" w:cs="仿宋"/>
                      <w:color w:val="auto"/>
                      <w:sz w:val="21"/>
                      <w:szCs w:val="21"/>
                      <w:lang w:val="zh-CN" w:eastAsia="zh-CN" w:bidi="ar-SA"/>
                    </w:rPr>
                    <w:t xml:space="preserve">分</w:t>
                  </w:r>
                  <w:r/>
                </w:p>
              </w:tc>
            </w:tr>
            <w:tr>
              <w:trPr>
                <w:trHeight w:val="312"/>
              </w:trPr>
              <w:tc>
                <w:tcPr>
                  <w:tcW w:w="2680"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en-US" w:eastAsia="zh-CN" w:bidi="ar-SA"/>
                    </w:rPr>
                    <w:t xml:space="preserve">2</w:t>
                  </w:r>
                  <w:r>
                    <w:rPr>
                      <w:rFonts w:hint="eastAsia" w:ascii="仿宋" w:hAnsi="仿宋" w:eastAsia="仿宋" w:cs="仿宋"/>
                      <w:color w:val="auto"/>
                      <w:sz w:val="21"/>
                      <w:szCs w:val="21"/>
                      <w:lang w:val="zh-CN" w:eastAsia="zh-CN" w:bidi="ar-SA"/>
                    </w:rPr>
                    <w:t xml:space="preserve">0亿元≤净资产＜</w:t>
                  </w:r>
                  <w:r>
                    <w:rPr>
                      <w:rFonts w:hint="eastAsia" w:ascii="仿宋" w:hAnsi="仿宋" w:eastAsia="仿宋" w:cs="仿宋"/>
                      <w:color w:val="auto"/>
                      <w:sz w:val="21"/>
                      <w:szCs w:val="21"/>
                      <w:lang w:val="en-US" w:eastAsia="zh-CN" w:bidi="ar-SA"/>
                    </w:rPr>
                    <w:t xml:space="preserve">25</w:t>
                  </w:r>
                  <w:r>
                    <w:rPr>
                      <w:rFonts w:hint="eastAsia" w:ascii="仿宋" w:hAnsi="仿宋" w:eastAsia="仿宋" w:cs="仿宋"/>
                      <w:color w:val="auto"/>
                      <w:sz w:val="21"/>
                      <w:szCs w:val="21"/>
                      <w:lang w:val="zh-CN" w:eastAsia="zh-CN" w:bidi="ar-SA"/>
                    </w:rPr>
                    <w:t xml:space="preserve">亿元</w:t>
                  </w:r>
                  <w:r/>
                </w:p>
              </w:tc>
              <w:tc>
                <w:tcPr>
                  <w:tcW w:w="2319"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en-US" w:eastAsia="zh-CN" w:bidi="ar-SA"/>
                    </w:rPr>
                    <w:t xml:space="preserve">6.0</w:t>
                  </w:r>
                  <w:r>
                    <w:rPr>
                      <w:rFonts w:hint="eastAsia" w:ascii="仿宋" w:hAnsi="仿宋" w:eastAsia="仿宋" w:cs="仿宋"/>
                      <w:color w:val="auto"/>
                      <w:sz w:val="21"/>
                      <w:szCs w:val="21"/>
                      <w:lang w:val="zh-CN" w:eastAsia="zh-CN" w:bidi="ar-SA"/>
                    </w:rPr>
                    <w:t xml:space="preserve">分</w:t>
                  </w:r>
                  <w:r/>
                </w:p>
              </w:tc>
            </w:tr>
            <w:tr>
              <w:trPr>
                <w:trHeight w:val="312"/>
              </w:trPr>
              <w:tc>
                <w:tcPr>
                  <w:tcW w:w="2680"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en-US" w:eastAsia="zh-CN" w:bidi="ar-SA"/>
                    </w:rPr>
                    <w:t xml:space="preserve">25</w:t>
                  </w:r>
                  <w:r>
                    <w:rPr>
                      <w:rFonts w:hint="eastAsia" w:ascii="仿宋" w:hAnsi="仿宋" w:eastAsia="仿宋" w:cs="仿宋"/>
                      <w:color w:val="auto"/>
                      <w:sz w:val="21"/>
                      <w:szCs w:val="21"/>
                      <w:lang w:val="zh-CN" w:eastAsia="zh-CN" w:bidi="ar-SA"/>
                    </w:rPr>
                    <w:t xml:space="preserve">亿元≤净资产＜</w:t>
                  </w:r>
                  <w:r>
                    <w:rPr>
                      <w:rFonts w:hint="eastAsia" w:ascii="仿宋" w:hAnsi="仿宋" w:eastAsia="仿宋" w:cs="仿宋"/>
                      <w:color w:val="auto"/>
                      <w:sz w:val="21"/>
                      <w:szCs w:val="21"/>
                      <w:lang w:val="en-US" w:eastAsia="zh-CN" w:bidi="ar-SA"/>
                    </w:rPr>
                    <w:t xml:space="preserve">30</w:t>
                  </w:r>
                  <w:r>
                    <w:rPr>
                      <w:rFonts w:hint="eastAsia" w:ascii="仿宋" w:hAnsi="仿宋" w:eastAsia="仿宋" w:cs="仿宋"/>
                      <w:color w:val="auto"/>
                      <w:sz w:val="21"/>
                      <w:szCs w:val="21"/>
                      <w:lang w:val="zh-CN" w:eastAsia="zh-CN" w:bidi="ar-SA"/>
                    </w:rPr>
                    <w:t xml:space="preserve">亿元</w:t>
                  </w:r>
                  <w:r/>
                </w:p>
              </w:tc>
              <w:tc>
                <w:tcPr>
                  <w:tcW w:w="2319"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8.0分</w:t>
                  </w:r>
                  <w:r/>
                </w:p>
              </w:tc>
            </w:tr>
            <w:tr>
              <w:trPr>
                <w:trHeight w:val="322"/>
              </w:trPr>
              <w:tc>
                <w:tcPr>
                  <w:tcW w:w="2680"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zh-CN" w:eastAsia="zh-CN" w:bidi="ar-SA"/>
                    </w:rPr>
                  </w:pPr>
                  <w:r>
                    <w:rPr>
                      <w:rFonts w:hint="eastAsia" w:ascii="仿宋" w:hAnsi="仿宋" w:eastAsia="仿宋" w:cs="仿宋"/>
                      <w:color w:val="auto"/>
                      <w:sz w:val="21"/>
                      <w:szCs w:val="21"/>
                      <w:lang w:val="zh-CN" w:eastAsia="zh-CN" w:bidi="ar-SA"/>
                    </w:rPr>
                    <w:t xml:space="preserve">净资产≥</w:t>
                  </w:r>
                  <w:r>
                    <w:rPr>
                      <w:rFonts w:hint="eastAsia" w:ascii="仿宋" w:hAnsi="仿宋" w:eastAsia="仿宋" w:cs="仿宋"/>
                      <w:color w:val="auto"/>
                      <w:sz w:val="21"/>
                      <w:szCs w:val="21"/>
                      <w:lang w:val="en-US" w:eastAsia="zh-CN" w:bidi="ar-SA"/>
                    </w:rPr>
                    <w:t xml:space="preserve">3</w:t>
                  </w:r>
                  <w:r>
                    <w:rPr>
                      <w:rFonts w:hint="eastAsia" w:ascii="仿宋" w:hAnsi="仿宋" w:eastAsia="仿宋" w:cs="仿宋"/>
                      <w:color w:val="auto"/>
                      <w:sz w:val="21"/>
                      <w:szCs w:val="21"/>
                      <w:lang w:val="zh-CN" w:eastAsia="zh-CN" w:bidi="ar-SA"/>
                    </w:rPr>
                    <w:t xml:space="preserve">0亿元</w:t>
                  </w:r>
                  <w:r/>
                </w:p>
              </w:tc>
              <w:tc>
                <w:tcPr>
                  <w:tcW w:w="2319" w:type="pct"/>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10.0分</w:t>
                  </w:r>
                  <w:r/>
                </w:p>
              </w:tc>
            </w:tr>
          </w:tbl>
          <w:p>
            <w:pPr>
              <w:ind w:firstLine="0"/>
              <w:jc w:val="left"/>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324"/>
        </w:trPr>
        <w:tc>
          <w:tcPr>
            <w:tcW w:w="443" w:type="pct"/>
            <w:vAlign w:val="center"/>
            <w:vMerge w:val="continue"/>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571" w:type="pct"/>
            <w:vAlign w:val="center"/>
            <w:vMerge w:val="continue"/>
            <w:textDirection w:val="lrTb"/>
            <w:noWrap w:val="false"/>
          </w:tcPr>
          <w:p>
            <w:pPr>
              <w:ind w:firstLine="0"/>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589"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银行授信额度</w:t>
            </w:r>
            <w:r/>
          </w:p>
          <w:p>
            <w:pPr>
              <w:ind w:firstLine="0"/>
              <w:jc w:val="center"/>
              <w:keepLines w:val="0"/>
              <w:keepNext w:val="0"/>
              <w:pageBreakBefore w:val="0"/>
              <w:spacing w:line="440" w:lineRule="exact"/>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（8分）</w:t>
            </w:r>
            <w:r/>
          </w:p>
        </w:tc>
        <w:tc>
          <w:tcPr>
            <w:tcW w:w="3394" w:type="pct"/>
            <w:vAlign w:val="center"/>
            <w:textDirection w:val="lrTb"/>
            <w:noWrap w:val="false"/>
          </w:tcPr>
          <w:p>
            <w:pPr>
              <w:ind w:firstLine="0"/>
              <w:jc w:val="both"/>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根据投标人（或其母公司）提供的银行授信额度进行评审计分：</w:t>
            </w:r>
            <w:r/>
          </w:p>
          <w:tbl>
            <w:tblPr>
              <w:tblStyle w:val="724"/>
              <w:tblW w:w="6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90"/>
              <w:gridCol w:w="2809"/>
            </w:tblGrid>
            <w:tr>
              <w:trPr>
                <w:trHeight w:val="313"/>
              </w:trPr>
              <w:tc>
                <w:tcPr>
                  <w:tcW w:w="3290"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银行授信额度</w:t>
                  </w:r>
                  <w:r/>
                </w:p>
              </w:tc>
              <w:tc>
                <w:tcPr>
                  <w:tcW w:w="2809"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评分标准</w:t>
                  </w:r>
                  <w:r/>
                </w:p>
              </w:tc>
            </w:tr>
            <w:tr>
              <w:trPr>
                <w:trHeight w:val="313"/>
              </w:trPr>
              <w:tc>
                <w:tcPr>
                  <w:tcW w:w="3290"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银行授信额度＜5亿元</w:t>
                  </w:r>
                  <w:r/>
                </w:p>
              </w:tc>
              <w:tc>
                <w:tcPr>
                  <w:tcW w:w="2809"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0.0分</w:t>
                  </w:r>
                  <w:r/>
                </w:p>
              </w:tc>
            </w:tr>
            <w:tr>
              <w:trPr>
                <w:trHeight w:val="313"/>
              </w:trPr>
              <w:tc>
                <w:tcPr>
                  <w:tcW w:w="3290"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5亿元≤银行授信额度＜10亿元</w:t>
                  </w:r>
                  <w:r/>
                </w:p>
              </w:tc>
              <w:tc>
                <w:tcPr>
                  <w:tcW w:w="2809"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2.0分</w:t>
                  </w:r>
                  <w:r/>
                </w:p>
              </w:tc>
            </w:tr>
            <w:tr>
              <w:trPr>
                <w:trHeight w:val="313"/>
              </w:trPr>
              <w:tc>
                <w:tcPr>
                  <w:tcW w:w="3290"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10亿元≤银行授信额度＜15亿元</w:t>
                  </w:r>
                  <w:r/>
                </w:p>
              </w:tc>
              <w:tc>
                <w:tcPr>
                  <w:tcW w:w="2809"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4.0分</w:t>
                  </w:r>
                  <w:r/>
                </w:p>
              </w:tc>
            </w:tr>
            <w:tr>
              <w:trPr>
                <w:trHeight w:val="313"/>
              </w:trPr>
              <w:tc>
                <w:tcPr>
                  <w:tcW w:w="3290"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15亿元≤银行授信额度＜20亿元</w:t>
                  </w:r>
                  <w:r/>
                </w:p>
              </w:tc>
              <w:tc>
                <w:tcPr>
                  <w:tcW w:w="2809"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6.0分</w:t>
                  </w:r>
                  <w:r/>
                </w:p>
              </w:tc>
            </w:tr>
            <w:tr>
              <w:trPr>
                <w:trHeight w:val="322"/>
              </w:trPr>
              <w:tc>
                <w:tcPr>
                  <w:tcW w:w="3290"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银行授信额度≥20亿元</w:t>
                  </w:r>
                  <w:r/>
                </w:p>
              </w:tc>
              <w:tc>
                <w:tcPr>
                  <w:tcW w:w="2809" w:type="dxa"/>
                  <w:vAlign w:val="top"/>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8.0分</w:t>
                  </w:r>
                  <w:r/>
                </w:p>
              </w:tc>
            </w:tr>
          </w:tbl>
          <w:p>
            <w:pPr>
              <w:ind w:firstLine="0"/>
              <w:jc w:val="both"/>
              <w:keepLines w:val="0"/>
              <w:keepNext w:val="0"/>
              <w:pageBreakBefore w:val="0"/>
              <w:spacing w:line="44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说明：1.本项得分以提交投标文件截止之日前取得中国境内银行出具的有效授信证明原件为准，否则不得分。投标人分多个银行出具的有效授信证明额度可以累加。</w:t>
            </w:r>
            <w:r/>
          </w:p>
          <w:p>
            <w:pPr>
              <w:ind w:firstLine="0"/>
              <w:jc w:val="left"/>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2.本项最高得分为8.0分。</w:t>
            </w:r>
            <w:r/>
          </w:p>
        </w:tc>
      </w:tr>
      <w:tr>
        <w:trPr>
          <w:jc w:val="center"/>
          <w:trHeight w:val="648"/>
        </w:trPr>
        <w:tc>
          <w:tcPr>
            <w:tcW w:w="443" w:type="pct"/>
            <w:vAlign w:val="center"/>
            <w:textDirection w:val="lrTb"/>
            <w:noWrap w:val="false"/>
          </w:tcPr>
          <w:p>
            <w:pPr>
              <w:ind w:firstLine="0"/>
              <w:jc w:val="center"/>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4</w:t>
            </w:r>
            <w:r/>
          </w:p>
        </w:tc>
        <w:tc>
          <w:tcPr>
            <w:gridSpan w:val="2"/>
            <w:tcW w:w="1161" w:type="pct"/>
            <w:vAlign w:val="center"/>
            <w:textDirection w:val="lrTb"/>
            <w:noWrap w:val="false"/>
          </w:tcPr>
          <w:p>
            <w:pPr>
              <w:ind w:firstLine="0"/>
              <w:jc w:val="center"/>
              <w:keepLines w:val="0"/>
              <w:keepNext w:val="0"/>
              <w:pageBreakBefore w:val="0"/>
              <w:spacing w:line="440" w:lineRule="exact"/>
              <w:tabs>
                <w:tab w:val="left" w:pos="900" w:leader="none"/>
              </w:tabs>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供应商诚信承诺书    （1分）</w:t>
            </w:r>
            <w:r/>
          </w:p>
        </w:tc>
        <w:tc>
          <w:tcPr>
            <w:tcW w:w="3394" w:type="pct"/>
            <w:vAlign w:val="center"/>
            <w:textDirection w:val="lrTb"/>
            <w:noWrap w:val="false"/>
          </w:tcPr>
          <w:p>
            <w:pPr>
              <w:ind w:firstLine="0"/>
              <w:jc w:val="left"/>
              <w:keepLines w:val="0"/>
              <w:keepNext w:val="0"/>
              <w:pageBreakBefore w:val="0"/>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投标</w:t>
            </w:r>
            <w:r>
              <w:rPr>
                <w:rFonts w:hint="eastAsia" w:ascii="仿宋" w:hAnsi="仿宋" w:eastAsia="仿宋" w:cs="仿宋"/>
                <w:color w:val="auto"/>
                <w:sz w:val="21"/>
                <w:szCs w:val="21"/>
                <w:lang w:val="en-US" w:eastAsia="zh-CN" w:bidi="ar"/>
              </w:rPr>
              <w:t xml:space="preserve">文件</w:t>
            </w:r>
            <w:r>
              <w:rPr>
                <w:rFonts w:hint="eastAsia" w:ascii="仿宋" w:hAnsi="仿宋" w:eastAsia="仿宋" w:cs="仿宋"/>
                <w:color w:val="auto"/>
                <w:sz w:val="21"/>
                <w:szCs w:val="21"/>
                <w:lang w:bidi="ar"/>
              </w:rPr>
              <w:t xml:space="preserve">中提供《盐城市大丰区政府采购事前信用承诺书》的得1分，未提供的不得分。</w:t>
            </w:r>
            <w:r/>
          </w:p>
        </w:tc>
      </w:tr>
    </w:tbl>
    <w:p>
      <w:pPr>
        <w:pStyle w:val="919"/>
        <w:ind w:firstLine="482"/>
        <w:keepLines w:val="0"/>
        <w:keepNext w:val="0"/>
        <w:pageBreakBefore w:val="0"/>
        <w:widowControl w:val="off"/>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pStyle w:val="746"/>
        <w:jc w:val="center"/>
        <w:keepNext/>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br w:type="page" w:clear="all"/>
      </w:r>
      <w:r/>
    </w:p>
    <w:p>
      <w:pPr>
        <w:pStyle w:val="746"/>
        <w:jc w:val="center"/>
        <w:keepLines w:val="0"/>
        <w:keepNext/>
        <w:pageBreakBefore w:val="0"/>
        <w:spacing w:beforeAutospacing="0" w:afterAutospacing="0"/>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44"/>
          <w:szCs w:val="44"/>
          <w:highlight w:val="none"/>
        </w:rPr>
        <w:t xml:space="preserve">第六章 投标文件格式</w:t>
      </w:r>
      <w:r>
        <w:rPr>
          <w:rFonts w:hint="eastAsia" w:ascii="仿宋" w:hAnsi="仿宋" w:eastAsia="仿宋" w:cs="仿宋"/>
          <w:i w:val="0"/>
          <w:iCs w:val="0"/>
          <w:color w:val="auto"/>
          <w:sz w:val="44"/>
          <w:szCs w:val="44"/>
          <w:highlight w:val="none"/>
        </w:rPr>
        <w:t xml:space="preserve"> </w:t>
      </w:r>
      <w:r/>
    </w:p>
    <w:p>
      <w:pPr>
        <w:pStyle w:val="746"/>
        <w:jc w:val="center"/>
        <w:spacing w:beforeAutospacing="0" w:afterAutospacing="0"/>
        <w:rPr>
          <w:rFonts w:hint="eastAsia" w:ascii="仿宋" w:hAnsi="仿宋" w:eastAsia="仿宋" w:cs="仿宋"/>
          <w:b/>
          <w:i w:val="0"/>
          <w:iCs w:val="0"/>
          <w:color w:val="auto"/>
          <w:sz w:val="72"/>
          <w:szCs w:val="72"/>
          <w:highlight w:val="none"/>
        </w:rPr>
      </w:pPr>
      <w:r/>
      <w:bookmarkStart w:id="175" w:name="_Toc120614282"/>
      <w:r/>
      <w:bookmarkEnd w:id="175"/>
      <w:r/>
      <w:bookmarkStart w:id="176" w:name="_Toc49090576"/>
      <w:r/>
      <w:bookmarkEnd w:id="176"/>
      <w:r/>
      <w:bookmarkStart w:id="177" w:name="_Hlt26671244"/>
      <w:r/>
      <w:bookmarkStart w:id="178" w:name="_Hlt26955039"/>
      <w:r/>
      <w:bookmarkStart w:id="179" w:name="_Toc26554094"/>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b/>
          <w:i w:val="0"/>
          <w:iCs w:val="0"/>
          <w:color w:val="auto"/>
          <w:sz w:val="72"/>
          <w:szCs w:val="72"/>
          <w:highlight w:val="none"/>
        </w:rPr>
        <w:t xml:space="preserve">投  标  文  件</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1084"/>
        <w:jc w:val="both"/>
        <w:spacing w:beforeAutospacing="0" w:afterAutospacing="0"/>
        <w:rPr>
          <w:rFonts w:hint="eastAsia"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r>
      <w:r/>
    </w:p>
    <w:p>
      <w:pPr>
        <w:pStyle w:val="746"/>
        <w:ind w:firstLine="1084"/>
        <w:jc w:val="both"/>
        <w:spacing w:beforeAutospacing="0" w:afterAutospacing="0"/>
        <w:rPr>
          <w:rFonts w:hint="eastAsia"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r>
      <w:r/>
    </w:p>
    <w:p>
      <w:pPr>
        <w:pStyle w:val="746"/>
        <w:ind w:firstLine="1083"/>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i w:val="0"/>
          <w:iCs w:val="0"/>
          <w:color w:val="auto"/>
          <w:sz w:val="36"/>
          <w:szCs w:val="36"/>
          <w:highlight w:val="none"/>
        </w:rPr>
        <w:t xml:space="preserve">项 目 名 称：</w:t>
      </w:r>
      <w:r>
        <w:rPr>
          <w:rFonts w:hint="eastAsia" w:ascii="仿宋" w:hAnsi="仿宋" w:eastAsia="仿宋" w:cs="仿宋"/>
          <w:b/>
          <w:i w:val="0"/>
          <w:iCs w:val="0"/>
          <w:color w:val="auto"/>
          <w:sz w:val="36"/>
          <w:szCs w:val="36"/>
          <w:highlight w:val="none"/>
          <w:u w:val="single"/>
        </w:rPr>
        <w:t xml:space="preserve">             </w:t>
      </w:r>
      <w:r/>
    </w:p>
    <w:p>
      <w:pPr>
        <w:pStyle w:val="746"/>
        <w:ind w:firstLine="1083"/>
        <w:jc w:val="both"/>
        <w:keepLines w:val="0"/>
        <w:keepNext w:val="0"/>
        <w:pageBreakBefore w:val="0"/>
        <w:spacing w:beforeAutospacing="0" w:afterAutospacing="0" w:line="360" w:lineRule="auto"/>
        <w:widowControl w:val="off"/>
        <w:rPr>
          <w:rFonts w:hint="eastAsia" w:ascii="仿宋" w:hAnsi="仿宋" w:eastAsia="仿宋" w:cs="仿宋"/>
          <w:b/>
          <w:i w:val="0"/>
          <w:iCs w:val="0"/>
          <w:color w:val="auto"/>
          <w:sz w:val="36"/>
          <w:szCs w:val="36"/>
          <w:highlight w:val="none"/>
          <w:u w:val="single"/>
        </w:rPr>
      </w:pPr>
      <w:r>
        <w:rPr>
          <w:rFonts w:hint="eastAsia" w:ascii="仿宋" w:hAnsi="仿宋" w:eastAsia="仿宋" w:cs="仿宋"/>
          <w:b/>
          <w:i w:val="0"/>
          <w:iCs w:val="0"/>
          <w:color w:val="auto"/>
          <w:sz w:val="36"/>
          <w:szCs w:val="36"/>
          <w:highlight w:val="none"/>
        </w:rPr>
        <w:t xml:space="preserve">项 目 编 号：</w:t>
      </w:r>
      <w:r>
        <w:rPr>
          <w:rFonts w:hint="eastAsia" w:ascii="仿宋" w:hAnsi="仿宋" w:eastAsia="仿宋" w:cs="仿宋"/>
          <w:b/>
          <w:i w:val="0"/>
          <w:iCs w:val="0"/>
          <w:color w:val="auto"/>
          <w:sz w:val="36"/>
          <w:szCs w:val="36"/>
          <w:highlight w:val="none"/>
          <w:u w:val="single"/>
        </w:rPr>
        <w:t xml:space="preserve">             </w:t>
      </w:r>
      <w:r/>
    </w:p>
    <w:p>
      <w:pPr>
        <w:pStyle w:val="746"/>
        <w:ind w:firstLine="1083"/>
        <w:jc w:val="both"/>
        <w:keepLines w:val="0"/>
        <w:keepNext w:val="0"/>
        <w:pageBreakBefore w:val="0"/>
        <w:spacing w:beforeAutospacing="0" w:afterAutospacing="0" w:line="360" w:lineRule="auto"/>
        <w:widowControl w:val="off"/>
        <w:rPr>
          <w:rFonts w:hint="eastAsia" w:ascii="仿宋" w:hAnsi="仿宋" w:eastAsia="仿宋" w:cs="仿宋"/>
          <w:b/>
          <w:i w:val="0"/>
          <w:iCs w:val="0"/>
          <w:color w:val="auto"/>
          <w:sz w:val="36"/>
          <w:szCs w:val="36"/>
          <w:highlight w:val="none"/>
          <w:u w:val="single"/>
        </w:rPr>
      </w:pPr>
      <w:r>
        <w:rPr>
          <w:rFonts w:hint="eastAsia" w:ascii="仿宋" w:hAnsi="仿宋" w:eastAsia="仿宋" w:cs="仿宋"/>
          <w:b/>
          <w:i w:val="0"/>
          <w:iCs w:val="0"/>
          <w:color w:val="auto"/>
          <w:sz w:val="36"/>
          <w:szCs w:val="36"/>
          <w:highlight w:val="none"/>
        </w:rPr>
        <w:t xml:space="preserve">投标人名称 ：</w:t>
      </w:r>
      <w:r>
        <w:rPr>
          <w:rFonts w:hint="eastAsia" w:ascii="仿宋" w:hAnsi="仿宋" w:eastAsia="仿宋" w:cs="仿宋"/>
          <w:b/>
          <w:i w:val="0"/>
          <w:iCs w:val="0"/>
          <w:color w:val="auto"/>
          <w:sz w:val="36"/>
          <w:szCs w:val="36"/>
          <w:highlight w:val="none"/>
          <w:u w:val="single"/>
        </w:rPr>
        <w:t xml:space="preserve">（加盖CA电子公章）</w:t>
      </w:r>
      <w:r/>
    </w:p>
    <w:p>
      <w:pPr>
        <w:pStyle w:val="746"/>
        <w:ind w:firstLine="1083"/>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i w:val="0"/>
          <w:iCs w:val="0"/>
          <w:color w:val="auto"/>
          <w:sz w:val="36"/>
          <w:szCs w:val="36"/>
          <w:highlight w:val="none"/>
        </w:rPr>
        <w:t xml:space="preserve">日   期 ：</w:t>
      </w:r>
      <w:r>
        <w:rPr>
          <w:rFonts w:hint="eastAsia" w:ascii="仿宋" w:hAnsi="仿宋" w:eastAsia="仿宋" w:cs="仿宋"/>
          <w:b/>
          <w:i w:val="0"/>
          <w:iCs w:val="0"/>
          <w:color w:val="auto"/>
          <w:sz w:val="36"/>
          <w:szCs w:val="36"/>
          <w:highlight w:val="none"/>
          <w:u w:val="singl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b/>
          <w:i w:val="0"/>
          <w:iCs w:val="0"/>
          <w:color w:val="auto"/>
          <w:sz w:val="32"/>
          <w:szCs w:val="32"/>
          <w:highlight w:val="none"/>
        </w:rPr>
        <w:t xml:space="preserve">投标文件目录</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一、法人或者其他组织的营业执照等证明文件，自然人的身份证明</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lang w:val="en-US" w:eastAsia="zh-CN"/>
        </w:rPr>
        <w:t xml:space="preserve">二、上一年度的财务状况报表（至少提供资产负债表、利润表、现金流量表，</w:t>
      </w:r>
      <w:r>
        <w:rPr>
          <w:rFonts w:hint="eastAsia" w:ascii="仿宋" w:hAnsi="仿宋" w:eastAsia="仿宋" w:cs="仿宋"/>
          <w:i w:val="0"/>
          <w:iCs w:val="0"/>
          <w:color w:val="auto"/>
          <w:highlight w:val="none"/>
          <w:u w:val="none"/>
        </w:rPr>
        <w:t xml:space="preserve">投标人成立不满一年无需提供）</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lang w:val="en-US" w:eastAsia="zh-CN"/>
        </w:rPr>
        <w:t xml:space="preserve">三</w:t>
      </w:r>
      <w:r>
        <w:rPr>
          <w:rFonts w:hint="eastAsia" w:ascii="仿宋" w:hAnsi="仿宋" w:eastAsia="仿宋" w:cs="仿宋"/>
          <w:i w:val="0"/>
          <w:iCs w:val="0"/>
          <w:color w:val="auto"/>
          <w:highlight w:val="none"/>
          <w:u w:val="none"/>
        </w:rPr>
        <w:t xml:space="preserve">、具备履行合同所必需的设备和专业技术能力的书面声明</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lang w:val="en-US" w:eastAsia="zh-CN"/>
        </w:rPr>
        <w:t xml:space="preserve">四</w:t>
      </w:r>
      <w:r>
        <w:rPr>
          <w:rFonts w:hint="eastAsia" w:ascii="仿宋" w:hAnsi="仿宋" w:eastAsia="仿宋" w:cs="仿宋"/>
          <w:i w:val="0"/>
          <w:iCs w:val="0"/>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五、参加政府采购活动前 3 年内在经营活动中没有重大违法记录的书面声明</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六、特定资格要求的证明文件（如果本项目设置特定资格要求，则需要提供）</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七、法人授权书</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八、投标函</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九、小微企业声明函</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十、残疾人福利性单位声明函</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十一、联合体协议</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lang w:eastAsia="zh-CN"/>
        </w:rPr>
      </w:pPr>
      <w:r>
        <w:rPr>
          <w:rFonts w:hint="eastAsia" w:ascii="仿宋" w:hAnsi="仿宋" w:eastAsia="仿宋" w:cs="仿宋"/>
          <w:i w:val="0"/>
          <w:iCs w:val="0"/>
          <w:color w:val="auto"/>
          <w:highlight w:val="none"/>
          <w:u w:val="none"/>
        </w:rPr>
        <w:t xml:space="preserve">十</w:t>
      </w:r>
      <w:r>
        <w:rPr>
          <w:rFonts w:hint="eastAsia" w:ascii="仿宋" w:hAnsi="仿宋" w:eastAsia="仿宋" w:cs="仿宋"/>
          <w:i w:val="0"/>
          <w:iCs w:val="0"/>
          <w:color w:val="auto"/>
          <w:highlight w:val="none"/>
          <w:u w:val="none"/>
          <w:lang w:val="en-US" w:eastAsia="zh-CN"/>
        </w:rPr>
        <w:t xml:space="preserve">二</w:t>
      </w:r>
      <w:r>
        <w:rPr>
          <w:rFonts w:hint="eastAsia" w:ascii="仿宋" w:hAnsi="仿宋" w:eastAsia="仿宋" w:cs="仿宋"/>
          <w:i w:val="0"/>
          <w:iCs w:val="0"/>
          <w:color w:val="auto"/>
          <w:highlight w:val="none"/>
          <w:u w:val="none"/>
        </w:rPr>
        <w:t xml:space="preserve">、</w:t>
      </w:r>
      <w:r>
        <w:rPr>
          <w:rFonts w:hint="eastAsia" w:ascii="仿宋" w:hAnsi="仿宋" w:eastAsia="仿宋" w:cs="仿宋"/>
          <w:i w:val="0"/>
          <w:iCs w:val="0"/>
          <w:color w:val="auto"/>
          <w:highlight w:val="none"/>
          <w:u w:val="none"/>
          <w:lang w:eastAsia="zh-CN"/>
        </w:rPr>
        <w:t xml:space="preserve">技术要求响应承诺书</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lang w:eastAsia="zh-CN"/>
        </w:rPr>
      </w:pPr>
      <w:r>
        <w:rPr>
          <w:rFonts w:hint="eastAsia" w:ascii="仿宋" w:hAnsi="仿宋" w:eastAsia="仿宋" w:cs="仿宋"/>
          <w:i w:val="0"/>
          <w:iCs w:val="0"/>
          <w:color w:val="auto"/>
          <w:highlight w:val="none"/>
          <w:u w:val="none"/>
        </w:rPr>
        <w:t xml:space="preserve">十</w:t>
      </w:r>
      <w:r>
        <w:rPr>
          <w:rFonts w:hint="eastAsia" w:ascii="仿宋" w:hAnsi="仿宋" w:eastAsia="仿宋" w:cs="仿宋"/>
          <w:i w:val="0"/>
          <w:iCs w:val="0"/>
          <w:color w:val="auto"/>
          <w:highlight w:val="none"/>
          <w:u w:val="none"/>
          <w:lang w:val="en-US" w:eastAsia="zh-CN"/>
        </w:rPr>
        <w:t xml:space="preserve">三</w:t>
      </w:r>
      <w:r>
        <w:rPr>
          <w:rFonts w:hint="eastAsia" w:ascii="仿宋" w:hAnsi="仿宋" w:eastAsia="仿宋" w:cs="仿宋"/>
          <w:i w:val="0"/>
          <w:iCs w:val="0"/>
          <w:color w:val="auto"/>
          <w:highlight w:val="none"/>
          <w:u w:val="none"/>
        </w:rPr>
        <w:t xml:space="preserve">、</w:t>
      </w:r>
      <w:r>
        <w:rPr>
          <w:rFonts w:hint="eastAsia" w:ascii="仿宋" w:hAnsi="仿宋" w:eastAsia="仿宋" w:cs="仿宋"/>
          <w:i w:val="0"/>
          <w:iCs w:val="0"/>
          <w:color w:val="auto"/>
          <w:highlight w:val="none"/>
          <w:u w:val="none"/>
          <w:lang w:eastAsia="zh-CN"/>
        </w:rPr>
        <w:t xml:space="preserve">商务要求响应承诺书</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十</w:t>
      </w:r>
      <w:r>
        <w:rPr>
          <w:rFonts w:hint="eastAsia" w:ascii="仿宋" w:hAnsi="仿宋" w:eastAsia="仿宋" w:cs="仿宋"/>
          <w:i w:val="0"/>
          <w:iCs w:val="0"/>
          <w:color w:val="auto"/>
          <w:highlight w:val="none"/>
          <w:u w:val="none"/>
          <w:lang w:val="en-US" w:eastAsia="zh-CN"/>
        </w:rPr>
        <w:t xml:space="preserve">四</w:t>
      </w:r>
      <w:r>
        <w:rPr>
          <w:rFonts w:hint="eastAsia" w:ascii="仿宋" w:hAnsi="仿宋" w:eastAsia="仿宋" w:cs="仿宋"/>
          <w:i w:val="0"/>
          <w:iCs w:val="0"/>
          <w:color w:val="auto"/>
          <w:highlight w:val="none"/>
          <w:u w:val="none"/>
        </w:rPr>
        <w:t xml:space="preserve">、开标一览表</w:t>
      </w:r>
      <w:r/>
    </w:p>
    <w:p>
      <w:pPr>
        <w:ind w:left="0" w:firstLine="480"/>
        <w:keepLines w:val="0"/>
        <w:keepNext w:val="0"/>
        <w:pageBreakBefore w:val="0"/>
        <w:spacing w:line="440" w:lineRule="exact"/>
        <w:widowControl/>
        <w:rPr>
          <w:rFonts w:hint="eastAsia" w:ascii="仿宋" w:hAnsi="仿宋" w:eastAsia="仿宋" w:cs="仿宋"/>
          <w:i w:val="0"/>
          <w:iCs w:val="0"/>
          <w:color w:val="auto"/>
          <w:sz w:val="24"/>
          <w:highlight w:val="none"/>
          <w:u w:val="none"/>
          <w:lang w:eastAsia="zh-CN"/>
        </w:rPr>
      </w:pPr>
      <w:r>
        <w:rPr>
          <w:rFonts w:hint="eastAsia" w:ascii="仿宋" w:hAnsi="仿宋" w:eastAsia="仿宋" w:cs="仿宋"/>
          <w:i w:val="0"/>
          <w:iCs w:val="0"/>
          <w:color w:val="auto"/>
          <w:sz w:val="24"/>
          <w:highlight w:val="none"/>
          <w:u w:val="none"/>
        </w:rPr>
        <w:t xml:space="preserve">十</w:t>
      </w:r>
      <w:r>
        <w:rPr>
          <w:rFonts w:hint="eastAsia" w:ascii="仿宋" w:hAnsi="仿宋" w:eastAsia="仿宋" w:cs="仿宋"/>
          <w:i w:val="0"/>
          <w:iCs w:val="0"/>
          <w:color w:val="auto"/>
          <w:sz w:val="24"/>
          <w:highlight w:val="none"/>
          <w:u w:val="none"/>
          <w:lang w:val="en-US" w:eastAsia="zh-CN"/>
        </w:rPr>
        <w:t xml:space="preserve">五</w:t>
      </w:r>
      <w:r>
        <w:rPr>
          <w:rFonts w:hint="eastAsia" w:ascii="仿宋" w:hAnsi="仿宋" w:eastAsia="仿宋" w:cs="仿宋"/>
          <w:i w:val="0"/>
          <w:iCs w:val="0"/>
          <w:color w:val="auto"/>
          <w:sz w:val="24"/>
          <w:highlight w:val="none"/>
          <w:u w:val="none"/>
        </w:rPr>
        <w:t xml:space="preserve">、</w:t>
      </w:r>
      <w:r>
        <w:rPr>
          <w:rFonts w:hint="eastAsia" w:ascii="仿宋" w:hAnsi="仿宋" w:eastAsia="仿宋" w:cs="仿宋"/>
          <w:i w:val="0"/>
          <w:iCs w:val="0"/>
          <w:color w:val="auto"/>
          <w:sz w:val="24"/>
          <w:highlight w:val="none"/>
          <w:u w:val="none"/>
          <w:lang w:val="en-US" w:eastAsia="zh-CN"/>
        </w:rPr>
        <w:t xml:space="preserve">实施</w:t>
      </w:r>
      <w:r>
        <w:rPr>
          <w:rFonts w:hint="eastAsia" w:ascii="仿宋" w:hAnsi="仿宋" w:eastAsia="仿宋" w:cs="仿宋"/>
          <w:i w:val="0"/>
          <w:iCs w:val="0"/>
          <w:color w:val="auto"/>
          <w:sz w:val="24"/>
          <w:highlight w:val="none"/>
          <w:u w:val="none"/>
          <w:lang w:eastAsia="zh-CN"/>
        </w:rPr>
        <w:t xml:space="preserve">方案</w:t>
      </w:r>
      <w:r/>
    </w:p>
    <w:p>
      <w:pPr>
        <w:pStyle w:val="746"/>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lang w:eastAsia="zh-CN"/>
        </w:rPr>
      </w:pPr>
      <w:r>
        <w:rPr>
          <w:rFonts w:hint="eastAsia" w:ascii="仿宋" w:hAnsi="仿宋" w:eastAsia="仿宋" w:cs="仿宋"/>
          <w:i w:val="0"/>
          <w:iCs w:val="0"/>
          <w:color w:val="auto"/>
          <w:highlight w:val="none"/>
          <w:u w:val="none"/>
        </w:rPr>
        <w:t xml:space="preserve">十</w:t>
      </w:r>
      <w:r>
        <w:rPr>
          <w:rFonts w:hint="eastAsia" w:ascii="仿宋" w:hAnsi="仿宋" w:eastAsia="仿宋" w:cs="仿宋"/>
          <w:i w:val="0"/>
          <w:iCs w:val="0"/>
          <w:color w:val="auto"/>
          <w:highlight w:val="none"/>
          <w:u w:val="none"/>
          <w:lang w:val="en-US" w:eastAsia="zh-CN"/>
        </w:rPr>
        <w:t xml:space="preserve">六</w:t>
      </w:r>
      <w:r>
        <w:rPr>
          <w:rFonts w:hint="eastAsia" w:ascii="仿宋" w:hAnsi="仿宋" w:eastAsia="仿宋" w:cs="仿宋"/>
          <w:i w:val="0"/>
          <w:iCs w:val="0"/>
          <w:color w:val="auto"/>
          <w:highlight w:val="none"/>
          <w:u w:val="none"/>
        </w:rPr>
        <w:t xml:space="preserve">、</w:t>
      </w:r>
      <w:r>
        <w:rPr>
          <w:rFonts w:hint="eastAsia" w:ascii="仿宋" w:hAnsi="仿宋" w:eastAsia="仿宋" w:cs="仿宋"/>
          <w:i w:val="0"/>
          <w:iCs w:val="0"/>
          <w:color w:val="auto"/>
          <w:highlight w:val="none"/>
          <w:u w:val="none"/>
          <w:lang w:eastAsia="zh-CN"/>
        </w:rPr>
        <w:t xml:space="preserve">盐城市大丰区政府采购事前信用承诺书</w:t>
      </w:r>
      <w:r/>
    </w:p>
    <w:p>
      <w:pPr>
        <w:pStyle w:val="746"/>
        <w:ind w:left="0" w:firstLine="480"/>
        <w:jc w:val="both"/>
        <w:keepLines w:val="0"/>
        <w:keepNext w:val="0"/>
        <w:pageBreakBefore w:val="0"/>
        <w:spacing w:beforeAutospacing="0" w:afterAutospacing="0" w:line="440" w:lineRule="exact"/>
        <w:rPr>
          <w:rFonts w:hint="default" w:ascii="仿宋" w:hAnsi="仿宋" w:eastAsia="仿宋" w:cs="仿宋"/>
          <w:i w:val="0"/>
          <w:iCs w:val="0"/>
          <w:color w:val="auto"/>
          <w:highlight w:val="none"/>
          <w:u w:val="none"/>
          <w:lang w:val="en-US" w:eastAsia="zh-CN"/>
        </w:rPr>
      </w:pPr>
      <w:r>
        <w:rPr>
          <w:rFonts w:hint="eastAsia" w:ascii="仿宋" w:hAnsi="仿宋" w:eastAsia="仿宋" w:cs="仿宋"/>
          <w:i w:val="0"/>
          <w:iCs w:val="0"/>
          <w:color w:val="auto"/>
          <w:highlight w:val="none"/>
          <w:u w:val="none"/>
          <w:lang w:val="en-US" w:eastAsia="zh-CN"/>
        </w:rPr>
        <w:t xml:space="preserve">十七、依据评标办法提供的用于评分的相关材料</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rPr>
        <w:t xml:space="preserve">一、法人或者其他组织的营业执照等证明文件，自然人的身份证明</w:t>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rPr>
        <w:t xml:space="preserve">二、上一年度的财务状况报表</w:t>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（至少提供资产负债表、利润表、现金流量表，投标人成立不满一年无需提供）</w:t>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lang w:val="en-US" w:eastAsia="zh-CN"/>
        </w:rPr>
        <w:t xml:space="preserve">三</w:t>
      </w:r>
      <w:r>
        <w:rPr>
          <w:rFonts w:hint="eastAsia" w:ascii="仿宋" w:hAnsi="仿宋" w:eastAsia="仿宋" w:cs="仿宋"/>
          <w:b/>
          <w:bCs/>
          <w:i w:val="0"/>
          <w:iCs w:val="0"/>
          <w:color w:val="auto"/>
          <w:sz w:val="32"/>
          <w:szCs w:val="32"/>
          <w:highlight w:val="none"/>
          <w:u w:val="single"/>
        </w:rPr>
        <w:t xml:space="preserve">、具备履行合同所必需的设备和专业技术能力的书面声明</w:t>
      </w:r>
      <w:r/>
    </w:p>
    <w:p>
      <w:pPr>
        <w:pStyle w:val="746"/>
        <w:ind w:firstLine="48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46"/>
        <w:ind w:firstLine="48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主要设备有：</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w:t>
      </w:r>
      <w:r/>
    </w:p>
    <w:p>
      <w:pPr>
        <w:pStyle w:val="746"/>
        <w:ind w:firstLine="48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主要专业技术能力有：</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w:t>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lang w:val="en-US" w:eastAsia="zh-CN"/>
        </w:rPr>
        <w:t xml:space="preserve">四</w:t>
      </w:r>
      <w:r>
        <w:rPr>
          <w:rFonts w:hint="eastAsia" w:ascii="仿宋" w:hAnsi="仿宋" w:eastAsia="仿宋" w:cs="仿宋"/>
          <w:b/>
          <w:bCs/>
          <w:i w:val="0"/>
          <w:iCs w:val="0"/>
          <w:color w:val="auto"/>
          <w:sz w:val="32"/>
          <w:szCs w:val="32"/>
          <w:highlight w:val="none"/>
          <w:u w:val="single"/>
        </w:rPr>
        <w:t xml:space="preserve">、依法缴纳税收和社会保障资金的相关材料</w:t>
      </w:r>
      <w:r/>
    </w:p>
    <w:p>
      <w:pPr>
        <w:pStyle w:val="746"/>
        <w:ind w:firstLine="48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0"/>
        <w:jc w:val="both"/>
        <w:keepLines w:val="0"/>
        <w:keepNext w:val="0"/>
        <w:pageBreakBefore w:val="0"/>
        <w:spacing w:beforeAutospacing="0" w:afterAutospacing="0" w:line="360" w:lineRule="auto"/>
        <w:widowControl w:val="off"/>
        <w:rPr>
          <w:rFonts w:hint="eastAsia" w:ascii="仿宋" w:hAnsi="仿宋" w:eastAsia="仿宋" w:cs="仿宋"/>
          <w:b/>
          <w:i w:val="0"/>
          <w:iCs w:val="0"/>
          <w:color w:val="auto"/>
          <w:sz w:val="44"/>
          <w:szCs w:val="44"/>
          <w:highlight w:val="none"/>
        </w:rPr>
      </w:pPr>
      <w:r>
        <w:rPr>
          <w:rFonts w:hint="eastAsia" w:ascii="仿宋" w:hAnsi="仿宋" w:eastAsia="仿宋" w:cs="仿宋"/>
          <w:b/>
          <w:bCs/>
          <w:i w:val="0"/>
          <w:iCs w:val="0"/>
          <w:color w:val="auto"/>
          <w:sz w:val="32"/>
          <w:szCs w:val="32"/>
          <w:highlight w:val="none"/>
          <w:u w:val="single"/>
        </w:rPr>
        <w:t xml:space="preserve">五、参加政府采购活动前 3 年内在经营活动中没有重大违法记录的书面声明</w:t>
      </w:r>
      <w:r/>
    </w:p>
    <w:p>
      <w:pPr>
        <w:pStyle w:val="746"/>
        <w:ind w:firstLine="3092"/>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b/>
          <w:i w:val="0"/>
          <w:iCs w:val="0"/>
          <w:color w:val="auto"/>
          <w:sz w:val="44"/>
          <w:szCs w:val="44"/>
          <w:highlight w:val="none"/>
        </w:rPr>
        <w:t xml:space="preserve"> 声  明</w:t>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t xml:space="preserve">    </w:t>
      </w:r>
      <w:r>
        <w:rPr>
          <w:rFonts w:hint="eastAsia" w:ascii="仿宋" w:hAnsi="仿宋" w:eastAsia="仿宋" w:cs="仿宋"/>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rPr>
        <w:t xml:space="preserve">六、特定资格要求的证明文件</w:t>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keepLines w:val="0"/>
        <w:keepNext w:val="0"/>
        <w:pageBreakBefore w:val="0"/>
        <w:spacing w:beforeAutospacing="0" w:afterAutospacing="0" w:line="0" w:lineRule="atLeas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如果本项目申请人的特定资格要求中要求提供的，必须提供。</w:t>
      </w:r>
      <w:r/>
    </w:p>
    <w:p>
      <w:pPr>
        <w:pStyle w:val="746"/>
        <w:jc w:val="center"/>
        <w:spacing w:beforeAutospacing="0" w:afterAutospacing="0"/>
        <w:rPr>
          <w:rFonts w:hint="eastAsia" w:ascii="仿宋" w:hAnsi="仿宋" w:eastAsia="仿宋" w:cs="仿宋"/>
          <w:i w:val="0"/>
          <w:iCs w:val="0"/>
          <w:color w:val="auto"/>
          <w:sz w:val="32"/>
          <w:szCs w:val="32"/>
          <w:highlight w:val="none"/>
          <w:u w:val="single"/>
        </w:rPr>
      </w:pPr>
      <w:r/>
      <w:bookmarkStart w:id="180" w:name="_Toc120614284"/>
      <w:r/>
      <w:r/>
    </w:p>
    <w:p>
      <w:pPr>
        <w:pStyle w:val="746"/>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6"/>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6"/>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6"/>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6"/>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6"/>
        <w:jc w:val="center"/>
        <w:keepLines w:val="0"/>
        <w:keepNext w:val="0"/>
        <w:pageBreakBefore w:val="0"/>
        <w:spacing w:beforeAutospacing="0" w:afterAutospacing="0"/>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rPr>
        <w:t xml:space="preserve">七、法人授权书</w:t>
      </w:r>
      <w:r/>
    </w:p>
    <w:p>
      <w:pPr>
        <w:pStyle w:val="746"/>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本授权书声明：____________（投标人名称）授权________________（被授权人的姓名）为我方就JSZC-</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号项目采购活动的合法代理人，以本单位名义全权处理一切与该项目采购有关的事务。</w:t>
      </w:r>
      <w:r/>
    </w:p>
    <w:p>
      <w:pPr>
        <w:pStyle w:val="746"/>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本授权书于______年____月____日起生效，特此声明。</w:t>
      </w:r>
      <w:r/>
    </w:p>
    <w:p>
      <w:pPr>
        <w:pStyle w:val="746"/>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被授权人身份证号码：</w:t>
      </w:r>
      <w:r>
        <w:rPr>
          <w:rFonts w:hint="eastAsia" w:ascii="仿宋" w:hAnsi="仿宋" w:eastAsia="仿宋" w:cs="仿宋"/>
          <w:i w:val="0"/>
          <w:iCs w:val="0"/>
          <w:color w:val="auto"/>
          <w:highlight w:val="none"/>
          <w:u w:val="single"/>
        </w:rPr>
        <w:t xml:space="preserve">                      </w:t>
      </w:r>
      <w:r/>
    </w:p>
    <w:p>
      <w:pPr>
        <w:pStyle w:val="746"/>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被授权人联系电话：（手机）</w:t>
      </w:r>
      <w:r>
        <w:rPr>
          <w:rFonts w:hint="eastAsia" w:ascii="仿宋" w:hAnsi="仿宋" w:eastAsia="仿宋" w:cs="仿宋"/>
          <w:i w:val="0"/>
          <w:iCs w:val="0"/>
          <w:color w:val="auto"/>
          <w:highlight w:val="none"/>
          <w:u w:val="single"/>
        </w:rPr>
        <w:t xml:space="preserve">                   </w:t>
      </w:r>
      <w:r/>
    </w:p>
    <w:p>
      <w:pPr>
        <w:pStyle w:val="746"/>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授权单位名称：</w:t>
      </w:r>
      <w:r>
        <w:rPr>
          <w:rFonts w:hint="eastAsia" w:ascii="仿宋" w:hAnsi="仿宋" w:eastAsia="仿宋" w:cs="仿宋"/>
          <w:i w:val="0"/>
          <w:iCs w:val="0"/>
          <w:color w:val="auto"/>
          <w:highlight w:val="none"/>
          <w:u w:val="single"/>
        </w:rPr>
        <w:t xml:space="preserve">（加盖CA电子公章）</w:t>
      </w:r>
      <w:r/>
    </w:p>
    <w:p>
      <w:pPr>
        <w:pStyle w:val="746"/>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单位地址：</w:t>
      </w:r>
      <w:r>
        <w:rPr>
          <w:rFonts w:hint="eastAsia" w:ascii="仿宋" w:hAnsi="仿宋" w:eastAsia="仿宋" w:cs="仿宋"/>
          <w:i w:val="0"/>
          <w:iCs w:val="0"/>
          <w:color w:val="auto"/>
          <w:highlight w:val="none"/>
          <w:u w:val="single"/>
        </w:rPr>
        <w:t xml:space="preserve">                  </w:t>
      </w:r>
      <w:r/>
    </w:p>
    <w:p>
      <w:pPr>
        <w:pStyle w:val="746"/>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日期：</w:t>
      </w:r>
      <w:bookmarkStart w:id="181" w:name="_Hlt26671380"/>
      <w:r/>
      <w:bookmarkStart w:id="182" w:name="_Hlt26955070"/>
      <w:r/>
      <w:bookmarkStart w:id="183" w:name="_格式3__银行出具的资信证明"/>
      <w:r>
        <w:rPr>
          <w:rFonts w:hint="eastAsia" w:ascii="仿宋" w:hAnsi="仿宋" w:eastAsia="仿宋" w:cs="仿宋"/>
          <w:i w:val="0"/>
          <w:iCs w:val="0"/>
          <w:color w:val="auto"/>
          <w:highlight w:val="none"/>
          <w:u w:val="single"/>
        </w:rPr>
        <w:t xml:space="preserve">            </w:t>
      </w:r>
      <w:r/>
    </w:p>
    <w:p>
      <w:pPr>
        <w:pStyle w:val="746"/>
        <w:ind w:firstLine="420"/>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0"/>
        <w:jc w:val="center"/>
        <w:keepLines/>
        <w:keepNext/>
        <w:pageBreakBefore w:val="0"/>
        <w:spacing w:before="260" w:beforeAutospacing="0" w:after="260" w:afterAutospacing="0" w:line="416" w:lineRule="auto"/>
        <w:widowControl w:val="off"/>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br w:type="page" w:clear="all"/>
      </w:r>
      <w:r>
        <w:rPr>
          <w:rFonts w:hint="eastAsia" w:ascii="仿宋" w:hAnsi="仿宋" w:eastAsia="仿宋" w:cs="仿宋"/>
          <w:b/>
          <w:i w:val="0"/>
          <w:iCs w:val="0"/>
          <w:color w:val="auto"/>
          <w:sz w:val="32"/>
          <w:szCs w:val="32"/>
          <w:highlight w:val="none"/>
          <w:u w:val="single"/>
        </w:rPr>
        <w:t xml:space="preserve">八、投标函</w:t>
      </w:r>
      <w:r/>
    </w:p>
    <w:p>
      <w:pPr>
        <w:pStyle w:val="746"/>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rPr>
        <w:t xml:space="preserve">致：盐城市大丰区公共资源交易中心</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根据贵方的JSZC-***</w:t>
      </w:r>
      <w:r>
        <w:rPr>
          <w:rFonts w:hint="eastAsia" w:ascii="仿宋" w:hAnsi="仿宋" w:eastAsia="仿宋" w:cs="仿宋"/>
          <w:b/>
          <w:i w:val="0"/>
          <w:iCs w:val="0"/>
          <w:color w:val="auto"/>
          <w:sz w:val="36"/>
          <w:szCs w:val="36"/>
          <w:highlight w:val="none"/>
          <w:u w:val="single"/>
        </w:rPr>
        <w:t xml:space="preserve">            </w:t>
      </w:r>
      <w:r>
        <w:rPr>
          <w:rFonts w:hint="eastAsia" w:ascii="仿宋" w:hAnsi="仿宋" w:eastAsia="仿宋" w:cs="仿宋"/>
          <w:i w:val="0"/>
          <w:iCs w:val="0"/>
          <w:color w:val="auto"/>
          <w:highlight w:val="none"/>
        </w:rPr>
        <w:t xml:space="preserve">号招标文件，正式授权下述签字人__________(姓名)代表我方______________（投标人的名称），全权处理本次项目投标的有关事宜。</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据此函，签字人兹宣布同意如下：</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1.按招标文件规定的各项要求，向买方提供所需货物（包含与货物相关的服务）。</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2.我们完全理解贵方不一定将合同授予最低报价的投标人。</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3.我们已详细审核全部招标文件及其有效补充文件，我们知道必须放弃提出含糊不清或误解问题的权利。</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4.我们同意从规定的开标日期起遵循本投标文件，并在规定的投标有效期期满之前均具有约束力。</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5.同意向贵方提供贵方可能另外要求的与投标有关的任何证据或资料，并保证我方已提供和将要提供的文件是真实的、准确的。</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6.一旦我方中标,我方将根据招标文件的规定，严格履行合同的责任和义务,并保证在招标文件规定的时间完成项目，交付买方验收、使用。</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7.与本投标有关的正式通讯地址为：</w:t>
      </w:r>
      <w:r/>
    </w:p>
    <w:p>
      <w:pPr>
        <w:pStyle w:val="746"/>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地          址：</w:t>
      </w:r>
      <w:r/>
    </w:p>
    <w:p>
      <w:pPr>
        <w:pStyle w:val="746"/>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邮          编：</w:t>
      </w:r>
      <w:r/>
    </w:p>
    <w:p>
      <w:pPr>
        <w:pStyle w:val="746"/>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电          话：</w:t>
      </w:r>
      <w:r/>
    </w:p>
    <w:p>
      <w:pPr>
        <w:pStyle w:val="746"/>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传          真：</w:t>
      </w:r>
      <w:r/>
    </w:p>
    <w:p>
      <w:pPr>
        <w:pStyle w:val="746"/>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投标人开户行：</w:t>
      </w:r>
      <w:r/>
    </w:p>
    <w:p>
      <w:pPr>
        <w:pStyle w:val="746"/>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账          号： </w:t>
      </w:r>
      <w:r/>
    </w:p>
    <w:p>
      <w:pPr>
        <w:pStyle w:val="746"/>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           期：________年____月____日</w:t>
      </w:r>
      <w:r/>
    </w:p>
    <w:p>
      <w:pPr>
        <w:pStyle w:val="746"/>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ind w:firstLine="321"/>
        <w:jc w:val="center"/>
        <w:spacing w:beforeAutospacing="0" w:afterAutospacing="0" w:line="0" w:lineRule="atLeast"/>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ind w:firstLine="0"/>
        <w:jc w:val="center"/>
        <w:keepLines w:val="0"/>
        <w:keepNext w:val="0"/>
        <w:pageBreakBefore w:val="0"/>
        <w:spacing w:beforeAutospacing="0" w:afterAutospacing="0" w:line="0" w:lineRule="atLeast"/>
        <w:widowControl w:val="off"/>
        <w:rPr>
          <w:rFonts w:hint="eastAsia" w:ascii="仿宋" w:hAnsi="仿宋" w:eastAsia="仿宋" w:cs="仿宋"/>
          <w:i w:val="0"/>
          <w:iCs w:val="0"/>
          <w:color w:val="auto"/>
          <w:highlight w:val="none"/>
          <w:lang w:eastAsia="zh-CN"/>
        </w:rPr>
      </w:pPr>
      <w:r>
        <w:rPr>
          <w:rFonts w:hint="eastAsia" w:ascii="仿宋" w:hAnsi="仿宋" w:eastAsia="仿宋" w:cs="仿宋"/>
          <w:b/>
          <w:i w:val="0"/>
          <w:iCs w:val="0"/>
          <w:color w:val="auto"/>
          <w:sz w:val="32"/>
          <w:szCs w:val="32"/>
          <w:highlight w:val="none"/>
          <w:u w:val="single"/>
        </w:rPr>
        <w:t xml:space="preserve">九、小微企业声明函</w:t>
      </w:r>
      <w:r>
        <w:rPr>
          <w:rFonts w:hint="eastAsia" w:ascii="仿宋" w:hAnsi="仿宋" w:eastAsia="仿宋" w:cs="仿宋"/>
          <w:b/>
          <w:i w:val="0"/>
          <w:iCs w:val="0"/>
          <w:color w:val="auto"/>
          <w:sz w:val="32"/>
          <w:szCs w:val="32"/>
          <w:highlight w:val="none"/>
          <w:lang w:eastAsia="zh-CN"/>
        </w:rPr>
        <w:t xml:space="preserve"> </w:t>
      </w:r>
      <w:r/>
    </w:p>
    <w:p>
      <w:pPr>
        <w:pStyle w:val="746"/>
        <w:ind w:firstLine="480"/>
        <w:jc w:val="left"/>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本公司（联合体）郑重声明，根据《政府采购促进中小企业发展管理办法》(财库[2020]46号)的规定，本公司（联合体）参加</w:t>
      </w:r>
      <w:r>
        <w:rPr>
          <w:rFonts w:hint="eastAsia" w:ascii="仿宋" w:hAnsi="仿宋" w:eastAsia="仿宋" w:cs="仿宋"/>
          <w:i w:val="0"/>
          <w:iCs w:val="0"/>
          <w:color w:val="auto"/>
          <w:highlight w:val="none"/>
          <w:lang w:eastAsia="zh-CN"/>
        </w:rPr>
        <w:t xml:space="preserve">盐城市大丰区公共资源交易中心</w:t>
      </w:r>
      <w:r>
        <w:rPr>
          <w:rFonts w:hint="eastAsia" w:ascii="仿宋" w:hAnsi="仿宋" w:eastAsia="仿宋" w:cs="仿宋"/>
          <w:i w:val="0"/>
          <w:iCs w:val="0"/>
          <w:color w:val="auto"/>
          <w:highlight w:val="none"/>
        </w:rPr>
        <w:t xml:space="preserve">组织的</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u w:val="single"/>
        </w:rPr>
        <w:t xml:space="preserve">（单位名称）</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rPr>
        <w:t xml:space="preserve">采购编号为</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u w:val="single"/>
        </w:rPr>
        <w:t xml:space="preserve">******</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rPr>
        <w:t xml:space="preserve">，</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u w:val="single"/>
        </w:rPr>
        <w:t xml:space="preserve">（项目名称）</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u w:val="single"/>
          <w:lang w:eastAsia="zh-CN"/>
        </w:rPr>
        <w:t xml:space="preserve"> </w:t>
      </w:r>
      <w:r>
        <w:rPr>
          <w:rFonts w:hint="eastAsia" w:ascii="仿宋" w:hAnsi="仿宋" w:eastAsia="仿宋" w:cs="仿宋"/>
          <w:i w:val="0"/>
          <w:iCs w:val="0"/>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1.</w:t>
      </w:r>
      <w:r>
        <w:rPr>
          <w:rFonts w:hint="eastAsia" w:ascii="仿宋" w:hAnsi="仿宋" w:eastAsia="仿宋" w:cs="仿宋"/>
          <w:i w:val="0"/>
          <w:iCs w:val="0"/>
          <w:color w:val="auto"/>
          <w:sz w:val="24"/>
          <w:szCs w:val="24"/>
          <w:highlight w:val="none"/>
          <w:u w:val="single"/>
          <w:lang w:val="en-US" w:eastAsia="zh-CN" w:bidi="ar-SA"/>
        </w:rPr>
        <w:t xml:space="preserve">（标的名称）</w:t>
      </w:r>
      <w:r>
        <w:rPr>
          <w:rFonts w:hint="eastAsia" w:ascii="仿宋" w:hAnsi="仿宋" w:eastAsia="仿宋" w:cs="仿宋"/>
          <w:i w:val="0"/>
          <w:iCs w:val="0"/>
          <w:color w:val="auto"/>
          <w:sz w:val="24"/>
          <w:szCs w:val="24"/>
          <w:highlight w:val="none"/>
          <w:lang w:val="en-US" w:eastAsia="zh-CN" w:bidi="ar-SA"/>
        </w:rPr>
        <w:t xml:space="preserve">，属于</w:t>
      </w:r>
      <w:r>
        <w:rPr>
          <w:rFonts w:hint="eastAsia" w:ascii="仿宋" w:hAnsi="仿宋" w:eastAsia="仿宋" w:cs="仿宋"/>
          <w:i w:val="0"/>
          <w:iCs w:val="0"/>
          <w:color w:val="auto"/>
          <w:sz w:val="24"/>
          <w:szCs w:val="24"/>
          <w:highlight w:val="none"/>
          <w:u w:val="single"/>
          <w:lang w:val="en-US" w:eastAsia="zh-CN" w:bidi="ar-SA"/>
        </w:rPr>
        <w:t xml:space="preserve">    其他未列明   </w:t>
      </w:r>
      <w:r>
        <w:rPr>
          <w:rFonts w:hint="eastAsia" w:ascii="仿宋" w:hAnsi="仿宋" w:eastAsia="仿宋" w:cs="仿宋"/>
          <w:i w:val="0"/>
          <w:iCs w:val="0"/>
          <w:color w:val="auto"/>
          <w:sz w:val="24"/>
          <w:szCs w:val="24"/>
          <w:highlight w:val="none"/>
          <w:lang w:val="en-US" w:eastAsia="zh-CN" w:bidi="ar-SA"/>
        </w:rPr>
        <w:t xml:space="preserve">行业；承接企业为</w:t>
      </w:r>
      <w:r>
        <w:rPr>
          <w:rFonts w:hint="eastAsia" w:ascii="仿宋" w:hAnsi="仿宋" w:eastAsia="仿宋" w:cs="仿宋"/>
          <w:i w:val="0"/>
          <w:iCs w:val="0"/>
          <w:color w:val="auto"/>
          <w:sz w:val="24"/>
          <w:szCs w:val="24"/>
          <w:highlight w:val="none"/>
          <w:u w:val="single"/>
          <w:lang w:val="en-US" w:eastAsia="zh-CN" w:bidi="ar-SA"/>
        </w:rPr>
        <w:t xml:space="preserve">（企业名称）</w:t>
      </w:r>
      <w:r>
        <w:rPr>
          <w:rFonts w:hint="eastAsia" w:ascii="仿宋" w:hAnsi="仿宋" w:eastAsia="仿宋" w:cs="仿宋"/>
          <w:i w:val="0"/>
          <w:iCs w:val="0"/>
          <w:color w:val="auto"/>
          <w:sz w:val="24"/>
          <w:szCs w:val="24"/>
          <w:highlight w:val="none"/>
          <w:lang w:val="en-US" w:eastAsia="zh-CN" w:bidi="ar-SA"/>
        </w:rPr>
        <w:t xml:space="preserve">，从业人员</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人，营业收入为</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万元，资产总额为</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万元，属于</w:t>
      </w:r>
      <w:r>
        <w:rPr>
          <w:rFonts w:hint="eastAsia" w:ascii="仿宋" w:hAnsi="仿宋" w:eastAsia="仿宋" w:cs="仿宋"/>
          <w:i w:val="0"/>
          <w:iCs w:val="0"/>
          <w:color w:val="auto"/>
          <w:sz w:val="24"/>
          <w:szCs w:val="24"/>
          <w:highlight w:val="none"/>
          <w:u w:val="single"/>
          <w:lang w:val="en-US" w:eastAsia="zh-CN" w:bidi="ar-SA"/>
        </w:rPr>
        <w:t xml:space="preserve">（小型企业、微型企业）；</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sz w:val="24"/>
          <w:szCs w:val="24"/>
          <w:highlight w:val="none"/>
          <w:lang w:val="en-US" w:eastAsia="zh-CN" w:bidi="ar-SA"/>
        </w:rPr>
        <w:t xml:space="preserve">2.</w:t>
      </w:r>
      <w:r>
        <w:rPr>
          <w:rFonts w:hint="eastAsia" w:ascii="仿宋" w:hAnsi="仿宋" w:eastAsia="仿宋" w:cs="仿宋"/>
          <w:i w:val="0"/>
          <w:iCs w:val="0"/>
          <w:color w:val="auto"/>
          <w:sz w:val="24"/>
          <w:szCs w:val="24"/>
          <w:highlight w:val="none"/>
          <w:u w:val="single"/>
          <w:lang w:val="en-US" w:eastAsia="zh-CN" w:bidi="ar-SA"/>
        </w:rPr>
        <w:t xml:space="preserve">（标的名称）</w:t>
      </w:r>
      <w:r>
        <w:rPr>
          <w:rFonts w:hint="eastAsia" w:ascii="仿宋" w:hAnsi="仿宋" w:eastAsia="仿宋" w:cs="仿宋"/>
          <w:i w:val="0"/>
          <w:iCs w:val="0"/>
          <w:color w:val="auto"/>
          <w:sz w:val="24"/>
          <w:szCs w:val="24"/>
          <w:highlight w:val="none"/>
          <w:lang w:val="en-US" w:eastAsia="zh-CN" w:bidi="ar-SA"/>
        </w:rPr>
        <w:t xml:space="preserve">，属于</w:t>
      </w:r>
      <w:r>
        <w:rPr>
          <w:rFonts w:hint="eastAsia" w:ascii="仿宋" w:hAnsi="仿宋" w:eastAsia="仿宋" w:cs="仿宋"/>
          <w:i w:val="0"/>
          <w:iCs w:val="0"/>
          <w:color w:val="auto"/>
          <w:sz w:val="24"/>
          <w:szCs w:val="24"/>
          <w:highlight w:val="none"/>
          <w:u w:val="single"/>
          <w:lang w:val="en-US" w:eastAsia="zh-CN" w:bidi="ar-SA"/>
        </w:rPr>
        <w:t xml:space="preserve">   其他未列明  </w:t>
      </w:r>
      <w:r>
        <w:rPr>
          <w:rFonts w:hint="eastAsia" w:ascii="仿宋" w:hAnsi="仿宋" w:eastAsia="仿宋" w:cs="仿宋"/>
          <w:i w:val="0"/>
          <w:iCs w:val="0"/>
          <w:color w:val="auto"/>
          <w:sz w:val="24"/>
          <w:szCs w:val="24"/>
          <w:highlight w:val="none"/>
          <w:lang w:val="en-US" w:eastAsia="zh-CN" w:bidi="ar-SA"/>
        </w:rPr>
        <w:t xml:space="preserve">行业；承接企业为</w:t>
      </w:r>
      <w:r>
        <w:rPr>
          <w:rFonts w:hint="eastAsia" w:ascii="仿宋" w:hAnsi="仿宋" w:eastAsia="仿宋" w:cs="仿宋"/>
          <w:i w:val="0"/>
          <w:iCs w:val="0"/>
          <w:color w:val="auto"/>
          <w:sz w:val="24"/>
          <w:szCs w:val="24"/>
          <w:highlight w:val="none"/>
          <w:u w:val="single"/>
          <w:lang w:val="en-US" w:eastAsia="zh-CN" w:bidi="ar-SA"/>
        </w:rPr>
        <w:t xml:space="preserve">（企业名称）</w:t>
      </w:r>
      <w:r>
        <w:rPr>
          <w:rFonts w:hint="eastAsia" w:ascii="仿宋" w:hAnsi="仿宋" w:eastAsia="仿宋" w:cs="仿宋"/>
          <w:i w:val="0"/>
          <w:iCs w:val="0"/>
          <w:color w:val="auto"/>
          <w:sz w:val="24"/>
          <w:szCs w:val="24"/>
          <w:highlight w:val="none"/>
          <w:lang w:val="en-US" w:eastAsia="zh-CN" w:bidi="ar-SA"/>
        </w:rPr>
        <w:t xml:space="preserve">，从业人员</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人，营业收入为</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万元，资产总额为</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万元，属于</w:t>
      </w:r>
      <w:r>
        <w:rPr>
          <w:rFonts w:hint="eastAsia" w:ascii="仿宋" w:hAnsi="仿宋" w:eastAsia="仿宋" w:cs="仿宋"/>
          <w:i w:val="0"/>
          <w:iCs w:val="0"/>
          <w:color w:val="auto"/>
          <w:sz w:val="24"/>
          <w:szCs w:val="24"/>
          <w:highlight w:val="none"/>
          <w:u w:val="single"/>
          <w:lang w:val="en-US" w:eastAsia="zh-CN" w:bidi="ar-SA"/>
        </w:rPr>
        <w:t xml:space="preserve">（小型企业、微型企业）；</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以上企业，不属于大企业的分支机构，不存在控股股东为大企业的情形，也不存在与大企业的负责人为同一人的情形。</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rPr>
        <w:t xml:space="preserve">本企业对上述声明内容的真实性负责。如有虚假，将依法承担相应责任</w:t>
      </w:r>
      <w:r>
        <w:rPr>
          <w:rFonts w:hint="eastAsia" w:ascii="仿宋" w:hAnsi="仿宋" w:eastAsia="仿宋" w:cs="仿宋"/>
          <w:i w:val="0"/>
          <w:iCs w:val="0"/>
          <w:color w:val="auto"/>
          <w:highlight w:val="none"/>
          <w:lang w:eastAsia="zh-CN"/>
        </w:rPr>
        <w:t xml:space="preserve">。</w:t>
      </w:r>
      <w:r/>
    </w:p>
    <w:p>
      <w:pPr>
        <w:pStyle w:val="746"/>
        <w:ind w:right="72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right="180" w:firstLine="36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企业名称（加盖CA电子公章）：</w:t>
      </w:r>
      <w:r/>
    </w:p>
    <w:p>
      <w:pPr>
        <w:pStyle w:val="746"/>
        <w:ind w:right="480" w:firstLine="540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  期：</w:t>
      </w:r>
      <w:r/>
    </w:p>
    <w:p>
      <w:pPr>
        <w:pStyle w:val="746"/>
        <w:ind w:firstLine="36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备注1：从业人员、营业收入、资产总额填报上一年度数据，无上一年度数据的新成立企业可不填报。</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备注2：供应商如不提供此声明函，价格将不做相应扣除</w:t>
      </w:r>
      <w:r>
        <w:rPr>
          <w:rFonts w:hint="eastAsia" w:ascii="仿宋" w:hAnsi="仿宋" w:eastAsia="仿宋" w:cs="仿宋"/>
          <w:i w:val="0"/>
          <w:iCs w:val="0"/>
          <w:color w:val="auto"/>
          <w:highlight w:val="none"/>
          <w:lang w:eastAsia="zh-CN"/>
        </w:rPr>
        <w:t xml:space="preserve">（如项目全面面向中小企业，则资格审查不通过）</w:t>
      </w:r>
      <w:r>
        <w:rPr>
          <w:rFonts w:hint="eastAsia" w:ascii="仿宋" w:hAnsi="仿宋" w:eastAsia="仿宋" w:cs="仿宋"/>
          <w:i w:val="0"/>
          <w:iCs w:val="0"/>
          <w:color w:val="auto"/>
          <w:highlight w:val="none"/>
        </w:rPr>
        <w:t xml:space="preserve">。</w:t>
      </w:r>
      <w:r/>
    </w:p>
    <w:p>
      <w:pPr>
        <w:pStyle w:val="746"/>
        <w:jc w:val="center"/>
        <w:keepLines w:val="0"/>
        <w:keepNext w:val="0"/>
        <w:pageBreakBefore w:val="0"/>
        <w:spacing w:beforeAutospacing="0" w:afterAutospacing="0" w:line="0" w:lineRule="atLeast"/>
        <w:widowControl w:val="off"/>
        <w:rPr>
          <w:rFonts w:hint="eastAsia" w:ascii="仿宋" w:hAnsi="仿宋" w:eastAsia="仿宋" w:cs="仿宋"/>
          <w:i w:val="0"/>
          <w:iCs w:val="0"/>
          <w:color w:val="auto"/>
          <w:highlight w:val="none"/>
          <w:lang w:eastAsia="zh-CN"/>
        </w:rPr>
      </w:pPr>
      <w:r>
        <w:rPr>
          <w:rFonts w:hint="eastAsia" w:ascii="仿宋" w:hAnsi="仿宋" w:eastAsia="仿宋" w:cs="仿宋"/>
          <w:b/>
          <w:i w:val="0"/>
          <w:iCs w:val="0"/>
          <w:color w:val="auto"/>
          <w:sz w:val="32"/>
          <w:szCs w:val="32"/>
          <w:highlight w:val="none"/>
        </w:rPr>
        <w:br w:type="page" w:clear="all"/>
      </w:r>
      <w:r>
        <w:rPr>
          <w:rFonts w:hint="eastAsia" w:ascii="仿宋" w:hAnsi="仿宋" w:eastAsia="仿宋" w:cs="仿宋"/>
          <w:b/>
          <w:i w:val="0"/>
          <w:iCs w:val="0"/>
          <w:color w:val="auto"/>
          <w:sz w:val="32"/>
          <w:szCs w:val="32"/>
          <w:highlight w:val="none"/>
        </w:rPr>
        <w:t xml:space="preserve"> </w:t>
      </w:r>
      <w:r>
        <w:rPr>
          <w:rFonts w:hint="eastAsia" w:ascii="仿宋" w:hAnsi="仿宋" w:eastAsia="仿宋" w:cs="仿宋"/>
          <w:b/>
          <w:i w:val="0"/>
          <w:iCs w:val="0"/>
          <w:color w:val="auto"/>
          <w:sz w:val="32"/>
          <w:szCs w:val="32"/>
          <w:highlight w:val="none"/>
          <w:u w:val="single"/>
        </w:rPr>
        <w:t xml:space="preserve">十、残疾人福利性单位声明函</w:t>
      </w:r>
      <w:r>
        <w:rPr>
          <w:rFonts w:hint="eastAsia" w:ascii="仿宋" w:hAnsi="仿宋" w:eastAsia="仿宋" w:cs="仿宋"/>
          <w:b/>
          <w:i w:val="0"/>
          <w:iCs w:val="0"/>
          <w:color w:val="auto"/>
          <w:sz w:val="32"/>
          <w:szCs w:val="32"/>
          <w:highlight w:val="none"/>
          <w:lang w:eastAsia="zh-CN"/>
        </w:rPr>
        <w:t xml:space="preserve"> </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项目</w:t>
      </w:r>
      <w:r>
        <w:rPr>
          <w:rFonts w:hint="eastAsia" w:ascii="仿宋" w:hAnsi="仿宋" w:eastAsia="仿宋" w:cs="仿宋"/>
          <w:i w:val="0"/>
          <w:iCs w:val="0"/>
          <w:color w:val="auto"/>
          <w:highlight w:val="none"/>
          <w:lang w:eastAsia="zh-CN"/>
        </w:rPr>
        <w:t xml:space="preserve"> </w:t>
      </w:r>
      <w:r>
        <w:rPr>
          <w:rFonts w:hint="eastAsia" w:ascii="仿宋" w:hAnsi="仿宋" w:eastAsia="仿宋" w:cs="仿宋"/>
          <w:i w:val="0"/>
          <w:iCs w:val="0"/>
          <w:color w:val="auto"/>
          <w:highlight w:val="none"/>
        </w:rPr>
        <w:t xml:space="preserve">采购活动提供本单位制造的货物，或者提供其他残疾人福利性单位制造的货物（不包括使用非残疾人福利性单位注册商标的货物）。</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本单位对上述声明的真实性负责。如有虚假，将依法承担相应责任。</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备注：1、供应商如不提供此声明函，价格将不做相应扣除</w:t>
      </w:r>
      <w:r>
        <w:rPr>
          <w:rFonts w:hint="eastAsia" w:ascii="仿宋" w:hAnsi="仿宋" w:eastAsia="仿宋" w:cs="仿宋"/>
          <w:i w:val="0"/>
          <w:iCs w:val="0"/>
          <w:color w:val="auto"/>
          <w:highlight w:val="none"/>
          <w:lang w:eastAsia="zh-CN"/>
        </w:rPr>
        <w:t xml:space="preserve">（如项目全面面向中小企业，则资格审查不通过）</w:t>
      </w:r>
      <w:r>
        <w:rPr>
          <w:rFonts w:hint="eastAsia" w:ascii="仿宋" w:hAnsi="仿宋" w:eastAsia="仿宋" w:cs="仿宋"/>
          <w:i w:val="0"/>
          <w:iCs w:val="0"/>
          <w:color w:val="auto"/>
          <w:highlight w:val="none"/>
        </w:rPr>
        <w:t xml:space="preserve">。2、中标供应商为残疾人福利单位的，此声明函将随中标结果同时公告，接受社会监督</w:t>
      </w:r>
      <w:r/>
    </w:p>
    <w:p>
      <w:pPr>
        <w:pStyle w:val="746"/>
        <w:ind w:firstLine="624"/>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right="1560" w:firstLine="624"/>
        <w:jc w:val="center"/>
        <w:keepLines w:val="0"/>
        <w:keepNext w:val="0"/>
        <w:pageBreakBefore w:val="0"/>
        <w:spacing w:beforeAutospacing="0" w:afterAutospacing="0" w:line="440" w:lineRule="exact"/>
        <w:widowControl w:val="off"/>
        <w:tabs>
          <w:tab w:val="left" w:pos="4864"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sz w:val="30"/>
          <w:szCs w:val="30"/>
          <w:highlight w:val="none"/>
        </w:rPr>
        <w:t xml:space="preserve">             </w:t>
      </w:r>
      <w:r>
        <w:rPr>
          <w:rFonts w:hint="eastAsia" w:ascii="仿宋" w:hAnsi="仿宋" w:eastAsia="仿宋" w:cs="仿宋"/>
          <w:i w:val="0"/>
          <w:iCs w:val="0"/>
          <w:color w:val="auto"/>
          <w:highlight w:val="none"/>
        </w:rPr>
        <w:t xml:space="preserve">          供应商全称（加盖CA电子公章）：</w:t>
      </w:r>
      <w:r/>
    </w:p>
    <w:p>
      <w:pPr>
        <w:pStyle w:val="746"/>
        <w:ind w:right="1560" w:firstLine="480"/>
        <w:jc w:val="center"/>
        <w:keepLines w:val="0"/>
        <w:keepNext w:val="0"/>
        <w:pageBreakBefore w:val="0"/>
        <w:spacing w:beforeAutospacing="0" w:afterAutospacing="0" w:line="440" w:lineRule="exact"/>
        <w:widowControl w:val="off"/>
        <w:tabs>
          <w:tab w:val="left" w:pos="4864"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日  期：</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keepLines w:val="0"/>
        <w:keepNext w:val="0"/>
        <w:pageBreakBefore w:val="0"/>
        <w:spacing w:beforeAutospacing="0" w:afterAutospacing="0" w:line="0" w:lineRule="atLeast"/>
        <w:widowControl w:val="off"/>
        <w:rPr>
          <w:rFonts w:hint="eastAsia" w:ascii="仿宋" w:hAnsi="仿宋" w:eastAsia="仿宋" w:cs="仿宋"/>
          <w:i w:val="0"/>
          <w:iCs w:val="0"/>
          <w:color w:val="auto"/>
          <w:highlight w:val="none"/>
          <w:lang w:eastAsia="zh-CN"/>
        </w:rPr>
      </w:pPr>
      <w:r>
        <w:rPr>
          <w:rFonts w:hint="eastAsia" w:ascii="仿宋" w:hAnsi="仿宋" w:eastAsia="仿宋" w:cs="仿宋"/>
          <w:b/>
          <w:i w:val="0"/>
          <w:iCs w:val="0"/>
          <w:color w:val="auto"/>
          <w:sz w:val="32"/>
          <w:szCs w:val="32"/>
          <w:highlight w:val="none"/>
          <w:u w:val="single"/>
        </w:rPr>
        <w:t xml:space="preserve">十一、联合体协议（参考格式）</w:t>
      </w:r>
      <w:r>
        <w:rPr>
          <w:rFonts w:hint="eastAsia" w:ascii="仿宋" w:hAnsi="仿宋" w:eastAsia="仿宋" w:cs="仿宋"/>
          <w:b/>
          <w:i w:val="0"/>
          <w:iCs w:val="0"/>
          <w:color w:val="auto"/>
          <w:sz w:val="32"/>
          <w:szCs w:val="32"/>
          <w:highlight w:val="none"/>
          <w:lang w:eastAsia="zh-CN"/>
        </w:rPr>
        <w:t xml:space="preserve"> </w:t>
      </w:r>
      <w:r/>
    </w:p>
    <w:p>
      <w:pPr>
        <w:pStyle w:val="746"/>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（联合体中各供应商全称）在此达成以下协议：</w:t>
      </w:r>
      <w:r/>
    </w:p>
    <w:p>
      <w:pPr>
        <w:pStyle w:val="746"/>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1、我们</w:t>
      </w:r>
      <w:r>
        <w:rPr>
          <w:rFonts w:hint="eastAsia" w:ascii="仿宋" w:hAnsi="仿宋" w:eastAsia="仿宋" w:cs="仿宋"/>
          <w:i w:val="0"/>
          <w:iCs w:val="0"/>
          <w:color w:val="auto"/>
          <w:highlight w:val="none"/>
          <w:u w:val="single"/>
        </w:rPr>
        <w:t xml:space="preserve"> （供应商1），（供应商2） ，……</w:t>
      </w:r>
      <w:r>
        <w:rPr>
          <w:rFonts w:hint="eastAsia" w:ascii="仿宋" w:hAnsi="仿宋" w:eastAsia="仿宋" w:cs="仿宋"/>
          <w:i w:val="0"/>
          <w:iCs w:val="0"/>
          <w:color w:val="auto"/>
          <w:highlight w:val="none"/>
        </w:rPr>
        <w:t xml:space="preserve">自愿组成联合体，参加</w:t>
      </w:r>
      <w:r>
        <w:rPr>
          <w:rFonts w:hint="eastAsia" w:ascii="仿宋" w:hAnsi="仿宋" w:eastAsia="仿宋" w:cs="仿宋"/>
          <w:i w:val="0"/>
          <w:iCs w:val="0"/>
          <w:color w:val="auto"/>
          <w:highlight w:val="none"/>
          <w:lang w:eastAsia="zh-CN"/>
        </w:rPr>
        <w:t xml:space="preserve">盐城市大丰区公共资源交易中心</w:t>
      </w:r>
      <w:r>
        <w:rPr>
          <w:rFonts w:hint="eastAsia" w:ascii="仿宋" w:hAnsi="仿宋" w:eastAsia="仿宋" w:cs="仿宋"/>
          <w:i w:val="0"/>
          <w:iCs w:val="0"/>
          <w:color w:val="auto"/>
          <w:highlight w:val="none"/>
        </w:rPr>
        <w:t xml:space="preserve">组织的采购编号为</w:t>
      </w:r>
      <w:r>
        <w:rPr>
          <w:rFonts w:hint="eastAsia" w:ascii="仿宋" w:hAnsi="仿宋" w:eastAsia="仿宋" w:cs="仿宋"/>
          <w:i w:val="0"/>
          <w:iCs w:val="0"/>
          <w:color w:val="auto"/>
          <w:highlight w:val="none"/>
          <w:u w:val="single"/>
        </w:rPr>
        <w:t xml:space="preserve">（编号全称），（项目全称）</w:t>
      </w:r>
      <w:r>
        <w:rPr>
          <w:rFonts w:hint="eastAsia" w:ascii="仿宋" w:hAnsi="仿宋" w:eastAsia="仿宋" w:cs="仿宋"/>
          <w:i w:val="0"/>
          <w:iCs w:val="0"/>
          <w:color w:val="auto"/>
          <w:highlight w:val="none"/>
        </w:rPr>
        <w:t xml:space="preserve">项目</w:t>
      </w:r>
      <w:r>
        <w:rPr>
          <w:rFonts w:hint="eastAsia" w:ascii="仿宋" w:hAnsi="仿宋" w:eastAsia="仿宋" w:cs="仿宋"/>
          <w:i w:val="0"/>
          <w:iCs w:val="0"/>
          <w:color w:val="auto"/>
          <w:highlight w:val="none"/>
          <w:lang w:eastAsia="zh-CN"/>
        </w:rPr>
        <w:t xml:space="preserve"> </w:t>
      </w:r>
      <w:r>
        <w:rPr>
          <w:rFonts w:hint="eastAsia" w:ascii="仿宋" w:hAnsi="仿宋" w:eastAsia="仿宋" w:cs="仿宋"/>
          <w:i w:val="0"/>
          <w:iCs w:val="0"/>
          <w:color w:val="auto"/>
          <w:highlight w:val="none"/>
        </w:rPr>
        <w:t xml:space="preserve">的政府采购活动，我联合体指定</w:t>
      </w:r>
      <w:r>
        <w:rPr>
          <w:rFonts w:hint="eastAsia" w:ascii="仿宋" w:hAnsi="仿宋" w:eastAsia="仿宋" w:cs="仿宋"/>
          <w:i w:val="0"/>
          <w:iCs w:val="0"/>
          <w:color w:val="auto"/>
          <w:highlight w:val="none"/>
          <w:u w:val="single"/>
        </w:rPr>
        <w:t xml:space="preserve">（供应商*）</w:t>
      </w:r>
      <w:r>
        <w:rPr>
          <w:rFonts w:hint="eastAsia" w:ascii="仿宋" w:hAnsi="仿宋" w:eastAsia="仿宋" w:cs="仿宋"/>
          <w:i w:val="0"/>
          <w:iCs w:val="0"/>
          <w:color w:val="auto"/>
          <w:highlight w:val="none"/>
        </w:rPr>
        <w:t xml:space="preserve">为牵头单位（牵头单位必须为联合体成员）。</w:t>
      </w:r>
      <w:r/>
    </w:p>
    <w:p>
      <w:pPr>
        <w:pStyle w:val="746"/>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46"/>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3、其中</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（小型、微型企业/残疾人福利性单位/监狱企业全称）为</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（小型、微型企业/残疾人福利性单位/监狱企业）企业，且我们约定该公司/单位所承担的合同金额将占本项目合同总金额的</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w:t>
      </w:r>
      <w:r/>
    </w:p>
    <w:p>
      <w:pPr>
        <w:pStyle w:val="746"/>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备注：本招标文件中要求加盖CA电子签章的地方，仅需加盖牵头单位的CA电子签章。</w:t>
      </w:r>
      <w:r/>
    </w:p>
    <w:p>
      <w:pPr>
        <w:pStyle w:val="746"/>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ind w:firstLine="645"/>
        <w:jc w:val="right"/>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联合体中各供应商全称（公章）：     </w:t>
      </w:r>
      <w:r/>
    </w:p>
    <w:p>
      <w:pPr>
        <w:pStyle w:val="746"/>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日期：</w:t>
      </w:r>
      <w:r/>
    </w:p>
    <w:p>
      <w:pPr>
        <w:pStyle w:val="746"/>
        <w:ind w:firstLine="645"/>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line="0" w:lineRule="atLeast"/>
        <w:rPr>
          <w:rFonts w:hint="eastAsia" w:ascii="仿宋" w:hAnsi="仿宋" w:eastAsia="仿宋" w:cs="仿宋"/>
          <w:i w:val="0"/>
          <w:iCs w:val="0"/>
          <w:color w:val="auto"/>
          <w:highlight w:val="none"/>
          <w:lang w:eastAsia="zh-CN"/>
        </w:rPr>
      </w:pPr>
      <w:r>
        <w:rPr>
          <w:rFonts w:hint="eastAsia" w:ascii="仿宋" w:hAnsi="仿宋" w:eastAsia="仿宋" w:cs="仿宋"/>
          <w:b/>
          <w:i w:val="0"/>
          <w:iCs w:val="0"/>
          <w:color w:val="auto"/>
          <w:sz w:val="32"/>
          <w:szCs w:val="32"/>
          <w:highlight w:val="none"/>
          <w:u w:val="single"/>
        </w:rPr>
        <w:t xml:space="preserve">十</w:t>
      </w:r>
      <w:r>
        <w:rPr>
          <w:rFonts w:hint="eastAsia" w:ascii="仿宋" w:hAnsi="仿宋" w:eastAsia="仿宋" w:cs="仿宋"/>
          <w:b/>
          <w:i w:val="0"/>
          <w:iCs w:val="0"/>
          <w:color w:val="auto"/>
          <w:sz w:val="32"/>
          <w:szCs w:val="32"/>
          <w:highlight w:val="none"/>
          <w:u w:val="single"/>
          <w:lang w:val="en-US" w:eastAsia="zh-CN"/>
        </w:rPr>
        <w:t xml:space="preserve">二</w:t>
      </w:r>
      <w:r>
        <w:rPr>
          <w:rFonts w:hint="eastAsia" w:ascii="仿宋" w:hAnsi="仿宋" w:eastAsia="仿宋" w:cs="仿宋"/>
          <w:b/>
          <w:i w:val="0"/>
          <w:iCs w:val="0"/>
          <w:color w:val="auto"/>
          <w:sz w:val="32"/>
          <w:szCs w:val="32"/>
          <w:highlight w:val="none"/>
          <w:u w:val="single"/>
        </w:rPr>
        <w:t xml:space="preserve">、</w:t>
      </w:r>
      <w:r>
        <w:rPr>
          <w:rFonts w:hint="eastAsia" w:ascii="仿宋" w:hAnsi="仿宋" w:eastAsia="仿宋" w:cs="仿宋"/>
          <w:b/>
          <w:i w:val="0"/>
          <w:iCs w:val="0"/>
          <w:color w:val="auto"/>
          <w:sz w:val="32"/>
          <w:szCs w:val="32"/>
          <w:highlight w:val="none"/>
          <w:u w:val="single"/>
          <w:lang w:eastAsia="zh-CN"/>
        </w:rPr>
        <w:t xml:space="preserve">技术要求响应承诺书</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致：盐城市大丰区公共资源交易中心</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i w:val="0"/>
          <w:iCs w:val="0"/>
          <w:color w:val="auto"/>
          <w:highlight w:val="none"/>
        </w:rPr>
        <w:t xml:space="preserve"> 根据贵方</w:t>
      </w:r>
      <w:r>
        <w:rPr>
          <w:rFonts w:hint="eastAsia" w:ascii="仿宋" w:hAnsi="仿宋" w:eastAsia="仿宋" w:cs="仿宋"/>
          <w:i w:val="0"/>
          <w:iCs w:val="0"/>
          <w:color w:val="auto"/>
          <w:highlight w:val="none"/>
          <w:lang w:eastAsia="zh-CN"/>
        </w:rPr>
        <w:t xml:space="preserve">盐城市大丰区东片区乡镇部分农房改造项目</w:t>
      </w:r>
      <w:r>
        <w:rPr>
          <w:rFonts w:hint="eastAsia" w:ascii="仿宋" w:hAnsi="仿宋" w:eastAsia="仿宋" w:cs="仿宋"/>
          <w:i w:val="0"/>
          <w:iCs w:val="0"/>
          <w:color w:val="auto"/>
          <w:highlight w:val="none"/>
        </w:rPr>
        <w:t xml:space="preserve">招标文件，</w:t>
      </w:r>
      <w:r>
        <w:rPr>
          <w:rFonts w:hint="eastAsia" w:ascii="仿宋" w:hAnsi="仿宋" w:eastAsia="仿宋" w:cs="仿宋"/>
          <w:i w:val="0"/>
          <w:iCs w:val="0"/>
          <w:color w:val="auto"/>
          <w:highlight w:val="none"/>
          <w:lang w:val="en-US" w:eastAsia="zh-CN"/>
        </w:rPr>
        <w:t xml:space="preserve">我单位郑重承诺响应上述项目招标文件中的全部</w:t>
      </w:r>
      <w:r>
        <w:rPr>
          <w:rFonts w:hint="eastAsia" w:ascii="仿宋" w:hAnsi="仿宋" w:eastAsia="仿宋" w:cs="仿宋"/>
          <w:b/>
          <w:bCs/>
          <w:i w:val="0"/>
          <w:iCs w:val="0"/>
          <w:color w:val="auto"/>
          <w:highlight w:val="none"/>
          <w:lang w:val="en-US" w:eastAsia="zh-CN"/>
        </w:rPr>
        <w:t xml:space="preserve">技术要求</w:t>
      </w:r>
      <w:r>
        <w:rPr>
          <w:rFonts w:hint="eastAsia" w:ascii="仿宋" w:hAnsi="仿宋" w:eastAsia="仿宋" w:cs="仿宋"/>
          <w:i w:val="0"/>
          <w:iCs w:val="0"/>
          <w:color w:val="auto"/>
          <w:highlight w:val="none"/>
          <w:lang w:val="en-US" w:eastAsia="zh-CN"/>
        </w:rPr>
        <w:t xml:space="preserve">。</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i w:val="0"/>
          <w:iCs w:val="0"/>
          <w:color w:val="auto"/>
          <w:highlight w:val="none"/>
          <w:lang w:val="en-US" w:eastAsia="zh-CN"/>
        </w:rPr>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rPr>
        <w:t xml:space="preserve">企业名称（加盖CA电子公章）</w:t>
      </w:r>
      <w:r>
        <w:rPr>
          <w:rFonts w:hint="eastAsia" w:ascii="仿宋" w:hAnsi="仿宋" w:eastAsia="仿宋" w:cs="仿宋"/>
          <w:i w:val="0"/>
          <w:iCs w:val="0"/>
          <w:color w:val="auto"/>
          <w:highlight w:val="none"/>
          <w:lang w:eastAsia="zh-CN"/>
        </w:rPr>
        <w:t xml:space="preserve">：</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  期：</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keepLines w:val="0"/>
        <w:keepNext w:val="0"/>
        <w:pageBreakBefore w:val="0"/>
        <w:spacing w:beforeAutospacing="0" w:afterAutospacing="0"/>
        <w:widowControl w:val="off"/>
        <w:rPr>
          <w:rFonts w:hint="eastAsia" w:ascii="仿宋" w:hAnsi="仿宋" w:eastAsia="仿宋" w:cs="仿宋"/>
          <w:i w:val="0"/>
          <w:iCs w:val="0"/>
          <w:color w:val="auto"/>
          <w:highlight w:val="none"/>
          <w:lang w:eastAsia="zh-CN"/>
        </w:rPr>
      </w:pPr>
      <w:r/>
      <w:bookmarkStart w:id="184" w:name="_Hlt26955054"/>
      <w:r>
        <w:rPr>
          <w:rFonts w:hint="eastAsia" w:ascii="仿宋" w:hAnsi="仿宋" w:eastAsia="仿宋" w:cs="仿宋"/>
          <w:b/>
          <w:i w:val="0"/>
          <w:iCs w:val="0"/>
          <w:color w:val="auto"/>
          <w:sz w:val="32"/>
          <w:szCs w:val="32"/>
          <w:highlight w:val="none"/>
          <w:u w:val="single"/>
        </w:rPr>
        <w:t xml:space="preserve">十</w:t>
      </w:r>
      <w:r>
        <w:rPr>
          <w:rFonts w:hint="eastAsia" w:ascii="仿宋" w:hAnsi="仿宋" w:eastAsia="仿宋" w:cs="仿宋"/>
          <w:b/>
          <w:i w:val="0"/>
          <w:iCs w:val="0"/>
          <w:color w:val="auto"/>
          <w:sz w:val="32"/>
          <w:szCs w:val="32"/>
          <w:highlight w:val="none"/>
          <w:u w:val="single"/>
          <w:lang w:val="en-US" w:eastAsia="zh-CN"/>
        </w:rPr>
        <w:t xml:space="preserve">三</w:t>
      </w:r>
      <w:r>
        <w:rPr>
          <w:rFonts w:hint="eastAsia" w:ascii="仿宋" w:hAnsi="仿宋" w:eastAsia="仿宋" w:cs="仿宋"/>
          <w:b/>
          <w:i w:val="0"/>
          <w:iCs w:val="0"/>
          <w:color w:val="auto"/>
          <w:sz w:val="32"/>
          <w:szCs w:val="32"/>
          <w:highlight w:val="none"/>
          <w:u w:val="single"/>
        </w:rPr>
        <w:t xml:space="preserve">、</w:t>
      </w:r>
      <w:r>
        <w:rPr>
          <w:rFonts w:hint="eastAsia" w:ascii="仿宋" w:hAnsi="仿宋" w:eastAsia="仿宋" w:cs="仿宋"/>
          <w:b/>
          <w:i w:val="0"/>
          <w:iCs w:val="0"/>
          <w:color w:val="auto"/>
          <w:sz w:val="32"/>
          <w:szCs w:val="32"/>
          <w:highlight w:val="none"/>
          <w:u w:val="single"/>
          <w:lang w:eastAsia="zh-CN"/>
        </w:rPr>
        <w:t xml:space="preserve">商务要求响应承诺书</w:t>
      </w:r>
      <w:r>
        <w:rPr>
          <w:rFonts w:hint="eastAsia" w:ascii="仿宋" w:hAnsi="仿宋" w:eastAsia="仿宋" w:cs="仿宋"/>
          <w:b/>
          <w:i w:val="0"/>
          <w:iCs w:val="0"/>
          <w:color w:val="auto"/>
          <w:sz w:val="32"/>
          <w:szCs w:val="32"/>
          <w:highlight w:val="none"/>
          <w:lang w:eastAsia="zh-CN"/>
        </w:rPr>
        <w:t xml:space="preserve"> </w:t>
      </w:r>
      <w:r/>
    </w:p>
    <w:p>
      <w:pPr>
        <w:pStyle w:val="746"/>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致：盐城市大丰区公共资源交易中心</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i w:val="0"/>
          <w:iCs w:val="0"/>
          <w:color w:val="auto"/>
          <w:highlight w:val="none"/>
        </w:rPr>
        <w:t xml:space="preserve"> 根据贵方</w:t>
      </w:r>
      <w:r>
        <w:rPr>
          <w:rFonts w:hint="eastAsia" w:ascii="仿宋" w:hAnsi="仿宋" w:eastAsia="仿宋" w:cs="仿宋"/>
          <w:i w:val="0"/>
          <w:iCs w:val="0"/>
          <w:color w:val="auto"/>
          <w:highlight w:val="none"/>
          <w:lang w:eastAsia="zh-CN"/>
        </w:rPr>
        <w:t xml:space="preserve">盐城市大丰区东片区乡镇部分农房改造项目</w:t>
      </w:r>
      <w:r>
        <w:rPr>
          <w:rFonts w:hint="eastAsia" w:ascii="仿宋" w:hAnsi="仿宋" w:eastAsia="仿宋" w:cs="仿宋"/>
          <w:i w:val="0"/>
          <w:iCs w:val="0"/>
          <w:color w:val="auto"/>
          <w:highlight w:val="none"/>
        </w:rPr>
        <w:t xml:space="preserve">招标文件，</w:t>
      </w:r>
      <w:r>
        <w:rPr>
          <w:rFonts w:hint="eastAsia" w:ascii="仿宋" w:hAnsi="仿宋" w:eastAsia="仿宋" w:cs="仿宋"/>
          <w:i w:val="0"/>
          <w:iCs w:val="0"/>
          <w:color w:val="auto"/>
          <w:highlight w:val="none"/>
          <w:lang w:val="en-US" w:eastAsia="zh-CN"/>
        </w:rPr>
        <w:t xml:space="preserve">我单位郑重承诺响应上述项目招标文件中的全部</w:t>
      </w:r>
      <w:r>
        <w:rPr>
          <w:rFonts w:hint="eastAsia" w:ascii="仿宋" w:hAnsi="仿宋" w:eastAsia="仿宋" w:cs="仿宋"/>
          <w:b/>
          <w:bCs/>
          <w:i w:val="0"/>
          <w:iCs w:val="0"/>
          <w:color w:val="auto"/>
          <w:highlight w:val="none"/>
          <w:lang w:val="en-US" w:eastAsia="zh-CN"/>
        </w:rPr>
        <w:t xml:space="preserve">商务要求</w:t>
      </w:r>
      <w:r>
        <w:rPr>
          <w:rFonts w:hint="eastAsia" w:ascii="仿宋" w:hAnsi="仿宋" w:eastAsia="仿宋" w:cs="仿宋"/>
          <w:i w:val="0"/>
          <w:iCs w:val="0"/>
          <w:color w:val="auto"/>
          <w:highlight w:val="none"/>
          <w:lang w:val="en-US" w:eastAsia="zh-CN"/>
        </w:rPr>
        <w:t xml:space="preserve">。</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i w:val="0"/>
          <w:iCs w:val="0"/>
          <w:color w:val="auto"/>
          <w:highlight w:val="none"/>
          <w:lang w:val="en-US" w:eastAsia="zh-CN"/>
        </w:rPr>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rPr>
        <w:t xml:space="preserve">企业名称（加盖CA电子公章）</w:t>
      </w:r>
      <w:r>
        <w:rPr>
          <w:rFonts w:hint="eastAsia" w:ascii="仿宋" w:hAnsi="仿宋" w:eastAsia="仿宋" w:cs="仿宋"/>
          <w:i w:val="0"/>
          <w:iCs w:val="0"/>
          <w:color w:val="auto"/>
          <w:highlight w:val="none"/>
          <w:lang w:eastAsia="zh-CN"/>
        </w:rPr>
        <w:t xml:space="preserve">：</w:t>
      </w:r>
      <w:r/>
    </w:p>
    <w:p>
      <w:pPr>
        <w:pStyle w:val="746"/>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  期：</w:t>
      </w:r>
      <w:r/>
    </w:p>
    <w:p>
      <w:pPr>
        <w:pStyle w:val="746"/>
        <w:jc w:val="both"/>
        <w:spacing w:beforeAutospacing="0" w:afterAutospacing="0" w:line="48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both"/>
        <w:spacing w:beforeAutospacing="0" w:afterAutospacing="0" w:line="48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bookmarkStart w:id="185" w:name="_格式2__法定代表人授权书"/>
      <w:r/>
      <w:bookmarkStart w:id="186" w:name="_Hlt26671374"/>
      <w:r/>
      <w:bookmarkStart w:id="187" w:name="_Hlt26955066"/>
      <w:r/>
      <w:bookmarkStart w:id="188" w:name="_Toc462564146"/>
      <w:r/>
      <w:bookmarkStart w:id="189" w:name="_Hlt26609389"/>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jc w:val="center"/>
        <w:keepLines w:val="0"/>
        <w:keepNext w:val="0"/>
        <w:pageBreakBefore w:val="0"/>
        <w:spacing w:before="50" w:after="50"/>
        <w:widowControl w:val="off"/>
        <w:rPr>
          <w:rFonts w:hint="eastAsia" w:ascii="仿宋" w:hAnsi="仿宋" w:eastAsia="仿宋" w:cs="仿宋"/>
          <w:i w:val="0"/>
          <w:iCs w:val="0"/>
          <w:color w:val="auto"/>
          <w:sz w:val="32"/>
          <w:szCs w:val="32"/>
          <w:highlight w:val="none"/>
        </w:rPr>
      </w:pPr>
      <w:r>
        <w:rPr>
          <w:rFonts w:hint="eastAsia" w:ascii="仿宋" w:hAnsi="仿宋" w:eastAsia="仿宋" w:cs="仿宋"/>
          <w:b/>
          <w:bCs w:val="0"/>
          <w:i w:val="0"/>
          <w:iCs w:val="0"/>
          <w:color w:val="auto"/>
          <w:sz w:val="32"/>
          <w:szCs w:val="32"/>
          <w:highlight w:val="none"/>
          <w:u w:val="single"/>
        </w:rPr>
        <w:t xml:space="preserve">十</w:t>
      </w:r>
      <w:r>
        <w:rPr>
          <w:rFonts w:hint="eastAsia" w:ascii="仿宋" w:hAnsi="仿宋" w:eastAsia="仿宋" w:cs="仿宋"/>
          <w:b/>
          <w:bCs w:val="0"/>
          <w:i w:val="0"/>
          <w:iCs w:val="0"/>
          <w:color w:val="auto"/>
          <w:sz w:val="32"/>
          <w:szCs w:val="32"/>
          <w:highlight w:val="none"/>
          <w:u w:val="single"/>
          <w:lang w:val="en-US" w:eastAsia="zh-CN"/>
        </w:rPr>
        <w:t xml:space="preserve">四</w:t>
      </w:r>
      <w:r>
        <w:rPr>
          <w:rFonts w:hint="eastAsia" w:ascii="仿宋" w:hAnsi="仿宋" w:eastAsia="仿宋" w:cs="仿宋"/>
          <w:b/>
          <w:bCs w:val="0"/>
          <w:i w:val="0"/>
          <w:iCs w:val="0"/>
          <w:color w:val="auto"/>
          <w:sz w:val="32"/>
          <w:szCs w:val="32"/>
          <w:highlight w:val="none"/>
          <w:u w:val="single"/>
        </w:rPr>
        <w:t xml:space="preserve">、开标一览表</w:t>
      </w:r>
      <w:r/>
    </w:p>
    <w:p>
      <w:pPr>
        <w:ind w:firstLine="0"/>
        <w:jc w:val="both"/>
        <w:keepLines w:val="0"/>
        <w:keepNext w:val="0"/>
        <w:pageBreakBefore w:val="0"/>
        <w:spacing w:beforeAutospacing="0" w:afterAutospacing="0" w:line="44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投标人全称（加盖CA电子签章）：</w:t>
      </w:r>
      <w:r/>
    </w:p>
    <w:p>
      <w:pPr>
        <w:ind w:firstLine="0"/>
        <w:jc w:val="both"/>
        <w:keepLines w:val="0"/>
        <w:keepNext w:val="0"/>
        <w:pageBreakBefore w:val="0"/>
        <w:spacing w:beforeAutospacing="0" w:afterAutospacing="0" w:line="44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项目名称：</w:t>
      </w:r>
      <w:r/>
    </w:p>
    <w:p>
      <w:pPr>
        <w:ind w:firstLine="0"/>
        <w:jc w:val="both"/>
        <w:keepLines w:val="0"/>
        <w:keepNext w:val="0"/>
        <w:pageBreakBefore w:val="0"/>
        <w:spacing w:beforeAutospacing="0" w:afterAutospacing="0" w:line="44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项目编号：</w:t>
      </w:r>
      <w:r/>
    </w:p>
    <w:p>
      <w:pPr>
        <w:ind w:firstLine="0"/>
        <w:jc w:val="both"/>
        <w:keepLines w:val="0"/>
        <w:keepNext w:val="0"/>
        <w:pageBreakBefore w:val="0"/>
        <w:spacing w:beforeAutospacing="0" w:afterAutospacing="0" w:line="44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分包号：</w:t>
      </w:r>
      <w:r/>
    </w:p>
    <w:tbl>
      <w:tblPr>
        <w:tblStyle w:val="724"/>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982"/>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beforeAutospacing="0" w:afterAutospacing="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beforeAutospacing="0" w:afterAutospacing="0" w:line="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beforeAutospacing="0" w:afterAutospacing="0" w:line="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小写：                        （人民币：元）</w:t>
            </w:r>
            <w:r/>
          </w:p>
        </w:tc>
      </w:tr>
    </w:tbl>
    <w:p>
      <w:pPr>
        <w:jc w:val="both"/>
        <w:spacing w:beforeAutospacing="0" w:afterAutospacing="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jc w:val="both"/>
        <w:spacing w:beforeAutospacing="0" w:afterAutospacing="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jc w:val="both"/>
        <w:spacing w:beforeAutospacing="0" w:afterAutospacing="0"/>
        <w:widowControl w:val="off"/>
        <w:rPr>
          <w:rFonts w:hint="eastAsia" w:ascii="仿宋" w:hAnsi="仿宋" w:eastAsia="仿宋" w:cs="仿宋"/>
          <w:i w:val="0"/>
          <w:iCs w:val="0"/>
          <w:color w:val="auto"/>
          <w:sz w:val="24"/>
          <w:highlight w:val="none"/>
        </w:rPr>
      </w:pPr>
      <w:r>
        <w:rPr>
          <w:rFonts w:hint="eastAsia" w:ascii="仿宋" w:hAnsi="仿宋" w:eastAsia="仿宋" w:cs="仿宋"/>
          <w:color w:val="auto"/>
          <w:sz w:val="21"/>
          <w:szCs w:val="21"/>
          <w:highlight w:val="none"/>
          <w:lang w:val="en-US" w:eastAsia="zh-CN" w:bidi="ar-SA"/>
        </w:rPr>
        <w:t xml:space="preserve">日期：  </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年</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月</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日</w:t>
      </w:r>
      <w:r/>
    </w:p>
    <w:p>
      <w:pPr>
        <w:jc w:val="center"/>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br w:type="page" w:clear="all"/>
      </w:r>
      <w:r/>
    </w:p>
    <w:p>
      <w:pPr>
        <w:ind w:firstLine="0"/>
        <w:jc w:val="center"/>
        <w:keepLines w:val="0"/>
        <w:keepNext w:val="0"/>
        <w:pageBreakBefore w:val="0"/>
        <w:spacing w:line="499" w:lineRule="atLeast"/>
        <w:widowControl/>
        <w:rPr>
          <w:rFonts w:hint="eastAsia" w:ascii="仿宋" w:hAnsi="仿宋" w:eastAsia="仿宋" w:cs="仿宋"/>
          <w:b/>
          <w:bCs/>
          <w:i w:val="0"/>
          <w:iCs w:val="0"/>
          <w:color w:val="auto"/>
          <w:sz w:val="32"/>
          <w:szCs w:val="32"/>
          <w:highlight w:val="none"/>
          <w:u w:val="single"/>
          <w:lang w:val="en-US" w:eastAsia="zh-CN"/>
        </w:rPr>
      </w:pPr>
      <w:r>
        <w:rPr>
          <w:rFonts w:hint="eastAsia" w:ascii="仿宋" w:hAnsi="仿宋" w:eastAsia="仿宋" w:cs="仿宋"/>
          <w:b/>
          <w:bCs/>
          <w:i w:val="0"/>
          <w:iCs w:val="0"/>
          <w:color w:val="auto"/>
          <w:sz w:val="32"/>
          <w:szCs w:val="32"/>
          <w:highlight w:val="none"/>
          <w:u w:val="single"/>
          <w:lang w:val="en-US" w:eastAsia="zh-CN"/>
        </w:rPr>
        <w:t xml:space="preserve">十五、实施方案</w:t>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ind w:firstLine="0"/>
        <w:jc w:val="center"/>
        <w:keepLines w:val="0"/>
        <w:keepNext w:val="0"/>
        <w:pageBreakBefore w:val="0"/>
        <w:spacing w:line="499" w:lineRule="atLeast"/>
        <w:widowControl/>
        <w:rPr>
          <w:rFonts w:hint="eastAsia" w:ascii="仿宋" w:hAnsi="仿宋" w:eastAsia="仿宋" w:cs="仿宋"/>
          <w:b/>
          <w:bCs/>
          <w:i w:val="0"/>
          <w:iCs w:val="0"/>
          <w:color w:val="auto"/>
          <w:sz w:val="32"/>
          <w:szCs w:val="32"/>
          <w:highlight w:val="none"/>
          <w:u w:val="single"/>
          <w:lang w:val="en-US" w:eastAsia="zh-CN"/>
        </w:rPr>
      </w:pPr>
      <w:r>
        <w:rPr>
          <w:rFonts w:hint="eastAsia" w:ascii="仿宋" w:hAnsi="仿宋" w:eastAsia="仿宋" w:cs="仿宋"/>
          <w:b/>
          <w:bCs/>
          <w:i w:val="0"/>
          <w:iCs w:val="0"/>
          <w:color w:val="auto"/>
          <w:sz w:val="32"/>
          <w:szCs w:val="32"/>
          <w:highlight w:val="none"/>
          <w:u w:val="single"/>
          <w:lang w:val="en-US" w:eastAsia="zh-CN"/>
        </w:rPr>
        <w:t xml:space="preserve">十六、盐城市大丰区政府采购事前信用承诺书</w:t>
      </w:r>
      <w:r/>
    </w:p>
    <w:p>
      <w:pPr>
        <w:ind w:firstLine="64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32"/>
          <w:szCs w:val="32"/>
          <w:highlight w:val="none"/>
        </w:rPr>
        <w:t xml:space="preserve"> </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（六）自觉接受政府、行业组织、社会公众、新闻舆论的监督；</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（八）本人已认真阅读了上述承诺，并向本单位员工作了宣传教育。</w:t>
      </w:r>
      <w:r/>
    </w:p>
    <w:p>
      <w:pPr>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szCs w:val="24"/>
          <w:highlight w:val="none"/>
        </w:rPr>
        <w:t xml:space="preserve">法定代表人（或者负责人）</w:t>
      </w:r>
      <w:r>
        <w:rPr>
          <w:rFonts w:hint="eastAsia" w:ascii="仿宋" w:hAnsi="仿宋" w:eastAsia="仿宋" w:cs="仿宋"/>
          <w:i w:val="0"/>
          <w:iCs w:val="0"/>
          <w:color w:val="auto"/>
          <w:sz w:val="24"/>
          <w:highlight w:val="none"/>
        </w:rPr>
        <w:t xml:space="preserve">签名：</w:t>
      </w:r>
      <w:r/>
    </w:p>
    <w:p>
      <w:pPr>
        <w:jc w:val="center"/>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                   单位名称（盖章）：</w:t>
      </w:r>
      <w:r/>
    </w:p>
    <w:p>
      <w:pPr>
        <w:jc w:val="center"/>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                      年月日</w:t>
      </w:r>
      <w:bookmarkEnd w:id="7"/>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166"/>
      <w:r/>
      <w:bookmarkEnd w:id="173"/>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746"/>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i w:val="0"/>
          <w:iCs w:val="0"/>
          <w:color w:val="auto"/>
          <w:highlight w:val="none"/>
          <w:u w:val="none"/>
          <w:lang w:val="en-US" w:eastAsia="zh-CN"/>
        </w:rPr>
      </w:pPr>
      <w:r>
        <w:rPr>
          <w:rFonts w:hint="eastAsia" w:ascii="仿宋" w:hAnsi="仿宋" w:eastAsia="仿宋" w:cs="仿宋"/>
          <w:i w:val="0"/>
          <w:iCs w:val="0"/>
          <w:color w:val="auto"/>
          <w:highlight w:val="none"/>
          <w:u w:val="none"/>
          <w:lang w:val="en-US" w:eastAsia="zh-CN"/>
        </w:rPr>
      </w:r>
      <w:r/>
    </w:p>
    <w:p>
      <w:pPr>
        <w:ind w:firstLine="0"/>
        <w:jc w:val="center"/>
        <w:keepLines w:val="0"/>
        <w:keepNext w:val="0"/>
        <w:pageBreakBefore w:val="0"/>
        <w:spacing w:line="499" w:lineRule="atLeast"/>
        <w:widowControl/>
        <w:rPr>
          <w:rFonts w:hint="eastAsia" w:ascii="仿宋" w:hAnsi="仿宋" w:eastAsia="仿宋" w:cs="仿宋"/>
          <w:b/>
          <w:bCs/>
          <w:i w:val="0"/>
          <w:iCs w:val="0"/>
          <w:color w:val="auto"/>
          <w:sz w:val="32"/>
          <w:szCs w:val="32"/>
          <w:highlight w:val="none"/>
          <w:u w:val="single"/>
        </w:rPr>
      </w:pPr>
      <w:r>
        <w:rPr>
          <w:rFonts w:hint="eastAsia" w:ascii="仿宋" w:hAnsi="仿宋" w:eastAsia="仿宋" w:cs="仿宋"/>
          <w:b/>
          <w:bCs/>
          <w:i w:val="0"/>
          <w:iCs w:val="0"/>
          <w:color w:val="auto"/>
          <w:sz w:val="32"/>
          <w:szCs w:val="32"/>
          <w:highlight w:val="none"/>
          <w:u w:val="single"/>
          <w:lang w:val="en-US" w:eastAsia="zh-CN"/>
        </w:rPr>
        <w:t xml:space="preserve">十七、依据评标办法提供的用于评分的相关材料</w:t>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6"/>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 xml:space="preserve">质疑函范本</w:t>
      </w:r>
      <w:r/>
    </w:p>
    <w:p>
      <w:pPr>
        <w:pStyle w:val="746"/>
        <w:jc w:val="both"/>
        <w:keepLines w:val="0"/>
        <w:keepNext w:val="0"/>
        <w:pageBreakBefore w:val="0"/>
        <w:spacing w:before="290"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一、质疑供应商基本信息</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质疑供应商：</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地址：</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邮编：</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联系人：</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联系电话：</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授权代表：</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联系电话：</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地址： </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邮编：</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二、质疑项目基本情况</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质疑项目的名称：</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质疑项目的编号：</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包号：</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采购人名称：</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采购文件获取日期：</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三、质疑事项具体内容</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质疑事项1：</w:t>
      </w:r>
      <w:r>
        <w:rPr>
          <w:rFonts w:hint="eastAsia" w:ascii="仿宋" w:hAnsi="仿宋" w:eastAsia="仿宋" w:cs="仿宋"/>
          <w:i w:val="0"/>
          <w:iCs w:val="0"/>
          <w:color w:val="auto"/>
          <w:highlight w:val="none"/>
          <w:u w:val="single"/>
        </w:rPr>
        <w:t xml:space="preserve">                             </w:t>
      </w:r>
      <w:r/>
    </w:p>
    <w:p>
      <w:pPr>
        <w:pStyle w:val="746"/>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事实依据：</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法律依据：</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质疑事项2</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四、与质疑事项相关的质疑请求</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请求：</w:t>
      </w:r>
      <w:r>
        <w:rPr>
          <w:rFonts w:hint="eastAsia" w:ascii="仿宋" w:hAnsi="仿宋" w:eastAsia="仿宋" w:cs="仿宋"/>
          <w:i w:val="0"/>
          <w:iCs w:val="0"/>
          <w:color w:val="auto"/>
          <w:highlight w:val="none"/>
          <w:u w:val="single"/>
        </w:rPr>
        <w:t xml:space="preserve">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签字(签章)：                 公章：               日期：    </w:t>
      </w:r>
      <w:r/>
    </w:p>
    <w:p>
      <w:pPr>
        <w:pStyle w:val="746"/>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t xml:space="preserve">质疑函制作说明：</w:t>
      </w:r>
      <w:r/>
    </w:p>
    <w:p>
      <w:pPr>
        <w:pStyle w:val="746"/>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1.供应商提出质疑时，应提交质疑函和必要的证明材料。</w:t>
      </w:r>
      <w:r/>
    </w:p>
    <w:p>
      <w:pPr>
        <w:pStyle w:val="746"/>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6"/>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3.质疑供应商若对项目的某一分包进行质疑，质疑函中应列明具体分包号。</w:t>
      </w:r>
      <w:r/>
    </w:p>
    <w:p>
      <w:pPr>
        <w:pStyle w:val="746"/>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4.质疑函的质疑事项应具体、明确，并有必要的事实依据和法律依据。</w:t>
      </w:r>
      <w:r/>
    </w:p>
    <w:p>
      <w:pPr>
        <w:pStyle w:val="746"/>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5.质疑函的质疑请求应与质疑事项相关。</w:t>
      </w:r>
      <w:r/>
    </w:p>
    <w:p>
      <w:pPr>
        <w:pStyle w:val="746"/>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6.质疑供应商为自然人的，质疑函应由本人签字；质疑供应商为法人或者其他组织的，质疑函应由</w:t>
      </w:r>
      <w:r>
        <w:rPr>
          <w:rFonts w:hint="eastAsia" w:ascii="仿宋" w:hAnsi="仿宋" w:eastAsia="仿宋" w:cs="仿宋"/>
          <w:i w:val="0"/>
          <w:iCs w:val="0"/>
          <w:color w:val="auto"/>
          <w:sz w:val="24"/>
          <w:szCs w:val="24"/>
          <w:highlight w:val="none"/>
        </w:rPr>
        <w:t xml:space="preserve">法定代表人（或者负责人）</w:t>
      </w:r>
      <w:r>
        <w:rPr>
          <w:rFonts w:hint="eastAsia" w:ascii="仿宋" w:hAnsi="仿宋" w:eastAsia="仿宋" w:cs="仿宋"/>
          <w:i w:val="0"/>
          <w:iCs w:val="0"/>
          <w:color w:val="auto"/>
          <w:highlight w:val="none"/>
        </w:rPr>
        <w:t xml:space="preserve">、主要负责人，或者其授权代表签字或者盖章，并加盖公章。</w:t>
      </w:r>
      <w:r/>
    </w:p>
    <w:p>
      <w:pPr>
        <w:ind w:left="0" w:right="0" w:firstLine="0"/>
        <w:jc w:val="center"/>
        <w:spacing w:before="0" w:after="0"/>
        <w:rPr>
          <w:rFonts w:hint="eastAsia" w:ascii="仿宋" w:hAnsi="仿宋" w:eastAsia="仿宋" w:cs="仿宋"/>
          <w:i w:val="0"/>
          <w:iCs w:val="0"/>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szCs w:val="21"/>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44"/>
          <w:szCs w:val="44"/>
          <w:highlight w:val="none"/>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44"/>
          <w:szCs w:val="44"/>
          <w:highlight w:val="none"/>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44"/>
          <w:szCs w:val="44"/>
          <w:highlight w:val="none"/>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25"/>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i w:val="0"/>
          <w:iCs w:val="0"/>
          <w:color w:val="auto"/>
          <w:sz w:val="44"/>
        </w:rPr>
        <w:t xml:space="preserve">政府采购合同履约验收书（参考格式）</w:t>
      </w:r>
      <w:r/>
    </w:p>
    <w:p>
      <w:pPr>
        <w:ind w:left="0" w:right="0" w:firstLine="600"/>
        <w:spacing w:before="0" w:after="0" w:line="559"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根据政府采购合同（编号：）的约定，我单位组织对</w:t>
      </w:r>
      <w:r>
        <w:rPr>
          <w:rFonts w:hint="eastAsia" w:ascii="仿宋" w:hAnsi="仿宋" w:eastAsia="仿宋" w:cs="仿宋"/>
          <w:i w:val="0"/>
          <w:iCs w:val="0"/>
          <w:color w:val="auto"/>
          <w:sz w:val="21"/>
          <w:u w:val="single"/>
        </w:rPr>
        <w:t xml:space="preserve">（项目名称）</w:t>
      </w:r>
      <w:r>
        <w:rPr>
          <w:rFonts w:hint="eastAsia" w:ascii="仿宋" w:hAnsi="仿宋" w:eastAsia="仿宋" w:cs="仿宋"/>
          <w:i w:val="0"/>
          <w:iCs w:val="0"/>
          <w:color w:val="auto"/>
          <w:sz w:val="21"/>
        </w:rPr>
        <w:t xml:space="preserve">项目中标（成交）供应商</w:t>
      </w:r>
      <w:r>
        <w:rPr>
          <w:rFonts w:hint="eastAsia" w:ascii="仿宋" w:hAnsi="仿宋" w:eastAsia="仿宋" w:cs="仿宋"/>
          <w:i w:val="0"/>
          <w:iCs w:val="0"/>
          <w:color w:val="auto"/>
          <w:sz w:val="21"/>
          <w:u w:val="single"/>
        </w:rPr>
        <w:t xml:space="preserve">（公司名称）</w:t>
      </w:r>
      <w:r>
        <w:rPr>
          <w:rFonts w:hint="eastAsia" w:ascii="仿宋" w:hAnsi="仿宋" w:eastAsia="仿宋" w:cs="仿宋"/>
          <w:i w:val="0"/>
          <w:iCs w:val="0"/>
          <w:color w:val="auto"/>
          <w:sz w:val="21"/>
        </w:rPr>
        <w:t xml:space="preserve">提供的货物（工程、服务）进行了履约验收，验收情况如下：</w:t>
      </w:r>
      <w:r/>
    </w:p>
    <w:tbl>
      <w:tblPr>
        <w:tblStyle w:val="750"/>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3161"/>
        <w:gridCol w:w="2015"/>
        <w:gridCol w:w="280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18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jc w:val="center"/>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i w:val="0"/>
                <w:iCs w:val="0"/>
                <w:color w:val="auto"/>
                <w:sz w:val="21"/>
              </w:rPr>
              <w:t xml:space="preserve">验收情况和验收意见</w:t>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（可另附）</w:t>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42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验收小组（签字）：</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br/>
            </w:r>
            <w:r>
              <w:rPr>
                <w:rFonts w:hint="eastAsia" w:ascii="仿宋" w:hAnsi="仿宋" w:eastAsia="仿宋" w:cs="仿宋"/>
                <w:i w:val="0"/>
                <w:iCs w:val="0"/>
                <w:color w:val="auto"/>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供应商确认意见（签章）：</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br/>
            </w:r>
            <w:r>
              <w:rPr>
                <w:rFonts w:hint="eastAsia" w:ascii="仿宋" w:hAnsi="仿宋" w:eastAsia="仿宋" w:cs="仿宋"/>
                <w:i w:val="0"/>
                <w:iCs w:val="0"/>
                <w:color w:val="auto"/>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采购人确认意见（签章）：</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br/>
            </w:r>
            <w:r>
              <w:rPr>
                <w:rFonts w:hint="eastAsia" w:ascii="仿宋" w:hAnsi="仿宋" w:eastAsia="仿宋" w:cs="仿宋"/>
                <w:i w:val="0"/>
                <w:iCs w:val="0"/>
                <w:color w:val="auto"/>
                <w:sz w:val="21"/>
              </w:rPr>
              <w:t xml:space="preserve">                              年    月    日</w:t>
            </w:r>
            <w:r/>
          </w:p>
        </w:tc>
      </w:tr>
    </w:tbl>
    <w:p>
      <w:pPr>
        <w:ind w:left="0" w:right="0" w:firstLine="0"/>
        <w:spacing w:before="0" w:after="0"/>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240" w:after="240"/>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4"/>
        </w:rPr>
        <w:t xml:space="preserve"> </w:t>
      </w:r>
      <w:r/>
    </w:p>
    <w:p>
      <w:pPr>
        <w:pStyle w:val="746"/>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bookmarkEnd w:id="190"/>
      <w:r/>
      <w:r/>
    </w:p>
    <w:sectPr>
      <w:headerReference w:type="default" r:id="rId8"/>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幼圆">
    <w:panose1 w:val="02010509060101010101"/>
  </w:font>
  <w:font w:name="仿宋_GB2312">
    <w:panose1 w:val="02010609060101010101"/>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等线" w:hAnsi="等线" w:eastAsia="等线" w:cs="Times New Roman"/>
        <w:sz w:val="18"/>
        <w:szCs w:val="18"/>
        <w:lang w:val="en-US" w:eastAsia="zh-CN" w:bidi="ar-SA"/>
      </w:rPr>
    </w:pPr>
    <w:r>
      <w:rPr>
        <w:rFonts w:ascii="等线" w:hAnsi="等线" w:eastAsia="等线"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等线" w:hAnsi="等线" w:eastAsia="等线" w:cs="Times New Roman"/>
                              <w:sz w:val="18"/>
                              <w:szCs w:val="18"/>
                              <w:lang w:val="en-US" w:eastAsia="zh-CN" w:bidi="ar-SA"/>
                            </w:rPr>
                          </w:pPr>
                          <w:r>
                            <w:rPr>
                              <w:rFonts w:ascii="等线" w:hAnsi="等线" w:eastAsia="等线" w:cs="Times New Roman"/>
                              <w:sz w:val="18"/>
                              <w:szCs w:val="18"/>
                              <w:lang w:val="en-US" w:eastAsia="zh-CN" w:bidi="ar-SA"/>
                            </w:rPr>
                            <w:fldChar w:fldCharType="begin"/>
                          </w:r>
                          <w:r>
                            <w:rPr>
                              <w:rFonts w:ascii="等线" w:hAnsi="等线" w:eastAsia="等线" w:cs="Times New Roman"/>
                              <w:sz w:val="18"/>
                              <w:szCs w:val="18"/>
                              <w:lang w:val="en-US" w:eastAsia="zh-CN" w:bidi="ar-SA"/>
                            </w:rPr>
                            <w:instrText xml:space="preserve"> PAGE  \* MERGEFORMAT </w:instrText>
                          </w:r>
                          <w:r>
                            <w:rPr>
                              <w:rFonts w:ascii="等线" w:hAnsi="等线" w:eastAsia="等线" w:cs="Times New Roman"/>
                              <w:sz w:val="18"/>
                              <w:szCs w:val="18"/>
                              <w:lang w:val="en-US" w:eastAsia="zh-CN" w:bidi="ar-SA"/>
                            </w:rPr>
                            <w:fldChar w:fldCharType="separate"/>
                          </w:r>
                          <w:r>
                            <w:rPr>
                              <w:rFonts w:ascii="等线" w:hAnsi="等线" w:eastAsia="等线" w:cs="Times New Roman"/>
                              <w:sz w:val="18"/>
                              <w:szCs w:val="18"/>
                              <w:lang w:val="en-US" w:eastAsia="zh-CN" w:bidi="ar-SA"/>
                            </w:rPr>
                            <w:t xml:space="preserve">22</w:t>
                          </w:r>
                          <w:r>
                            <w:rPr>
                              <w:rFonts w:ascii="等线" w:hAnsi="等线" w:eastAsia="等线"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等线" w:hAnsi="等线" w:eastAsia="等线" w:cs="Times New Roman"/>
                        <w:sz w:val="18"/>
                        <w:szCs w:val="18"/>
                        <w:lang w:val="en-US" w:eastAsia="zh-CN" w:bidi="ar-SA"/>
                      </w:rPr>
                    </w:pPr>
                    <w:r>
                      <w:rPr>
                        <w:rFonts w:ascii="等线" w:hAnsi="等线" w:eastAsia="等线" w:cs="Times New Roman"/>
                        <w:sz w:val="18"/>
                        <w:szCs w:val="18"/>
                        <w:lang w:val="en-US" w:eastAsia="zh-CN" w:bidi="ar-SA"/>
                      </w:rPr>
                      <w:fldChar w:fldCharType="begin"/>
                    </w:r>
                    <w:r>
                      <w:rPr>
                        <w:rFonts w:ascii="等线" w:hAnsi="等线" w:eastAsia="等线" w:cs="Times New Roman"/>
                        <w:sz w:val="18"/>
                        <w:szCs w:val="18"/>
                        <w:lang w:val="en-US" w:eastAsia="zh-CN" w:bidi="ar-SA"/>
                      </w:rPr>
                      <w:instrText xml:space="preserve"> PAGE  \* MERGEFORMAT </w:instrText>
                    </w:r>
                    <w:r>
                      <w:rPr>
                        <w:rFonts w:ascii="等线" w:hAnsi="等线" w:eastAsia="等线" w:cs="Times New Roman"/>
                        <w:sz w:val="18"/>
                        <w:szCs w:val="18"/>
                        <w:lang w:val="en-US" w:eastAsia="zh-CN" w:bidi="ar-SA"/>
                      </w:rPr>
                      <w:fldChar w:fldCharType="separate"/>
                    </w:r>
                    <w:r>
                      <w:rPr>
                        <w:rFonts w:ascii="等线" w:hAnsi="等线" w:eastAsia="等线" w:cs="Times New Roman"/>
                        <w:sz w:val="18"/>
                        <w:szCs w:val="18"/>
                        <w:lang w:val="en-US" w:eastAsia="zh-CN" w:bidi="ar-SA"/>
                      </w:rPr>
                      <w:t xml:space="preserve">22</w:t>
                    </w:r>
                    <w:r>
                      <w:rPr>
                        <w:rFonts w:ascii="等线" w:hAnsi="等线" w:eastAsia="等线"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firstLine="360"/>
      <w:rPr>
        <w:rFonts w:hint="eastAsia"/>
      </w:rPr>
      <w:pBdr>
        <w:top w:val="none" w:color="auto" w:sz="0" w:space="0"/>
        <w:left w:val="none" w:color="auto" w:sz="0" w:space="0"/>
        <w:bottom w:val="none" w:color="auto" w:sz="0" w:space="1"/>
        <w:right w:val="none" w:color="auto" w:sz="0" w:space="0"/>
        <w:between w:val="none" w:color="auto" w:sz="0" w:space="0"/>
      </w:pBdr>
    </w:pP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next w:val="725"/>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4">
    <w:name w:val="Heading 1"/>
    <w:basedOn w:val="713"/>
    <w:next w:val="713"/>
    <w:uiPriority w:val="9"/>
    <w:qFormat/>
    <w:pPr>
      <w:keepLines/>
      <w:keepNext/>
      <w:spacing w:before="340" w:after="330" w:line="578" w:lineRule="auto"/>
      <w:outlineLvl w:val="0"/>
    </w:pPr>
    <w:rPr>
      <w:b/>
      <w:bCs/>
      <w:sz w:val="44"/>
      <w:szCs w:val="44"/>
    </w:rPr>
  </w:style>
  <w:style w:type="paragraph" w:styleId="715">
    <w:name w:val="Heading 2"/>
    <w:basedOn w:val="713"/>
    <w:next w:val="71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6">
    <w:name w:val="Heading 3"/>
    <w:basedOn w:val="713"/>
    <w:next w:val="713"/>
    <w:uiPriority w:val="0"/>
    <w:unhideWhenUsed/>
    <w:qFormat/>
    <w:pPr>
      <w:keepLines/>
      <w:keepNext/>
      <w:spacing w:before="260" w:after="260" w:line="416" w:lineRule="auto"/>
      <w:outlineLvl w:val="2"/>
    </w:pPr>
    <w:rPr>
      <w:b/>
      <w:bCs/>
      <w:sz w:val="32"/>
      <w:szCs w:val="32"/>
    </w:rPr>
  </w:style>
  <w:style w:type="paragraph" w:styleId="717">
    <w:name w:val="Heading 4"/>
    <w:basedOn w:val="713"/>
    <w:next w:val="713"/>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8">
    <w:name w:val="Heading 5"/>
    <w:basedOn w:val="713"/>
    <w:next w:val="713"/>
    <w:uiPriority w:val="9"/>
    <w:semiHidden/>
    <w:unhideWhenUsed/>
    <w:qFormat/>
    <w:pPr>
      <w:keepLines/>
      <w:keepNext/>
      <w:spacing w:before="280" w:after="290" w:line="372" w:lineRule="auto"/>
      <w:outlineLvl w:val="4"/>
    </w:pPr>
    <w:rPr>
      <w:b/>
      <w:sz w:val="28"/>
    </w:rPr>
  </w:style>
  <w:style w:type="paragraph" w:styleId="719">
    <w:name w:val="Heading 6"/>
    <w:basedOn w:val="713"/>
    <w:next w:val="713"/>
    <w:link w:val="760"/>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62"/>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63"/>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Block Text"/>
    <w:basedOn w:val="713"/>
    <w:uiPriority w:val="0"/>
    <w:qFormat/>
    <w:pPr>
      <w:ind w:left="420" w:right="33"/>
      <w:jc w:val="left"/>
    </w:pPr>
    <w:rPr>
      <w:sz w:val="24"/>
    </w:rPr>
  </w:style>
  <w:style w:type="paragraph" w:styleId="726">
    <w:name w:val="toc 7"/>
    <w:basedOn w:val="713"/>
    <w:next w:val="713"/>
    <w:uiPriority w:val="39"/>
    <w:unhideWhenUsed/>
    <w:qFormat/>
    <w:pPr>
      <w:ind w:left="1701" w:right="0" w:firstLine="0"/>
      <w:spacing w:after="57"/>
    </w:pPr>
  </w:style>
  <w:style w:type="paragraph" w:styleId="727">
    <w:name w:val="Caption"/>
    <w:basedOn w:val="713"/>
    <w:next w:val="7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8">
    <w:name w:val="annotation text"/>
    <w:basedOn w:val="713"/>
    <w:uiPriority w:val="0"/>
    <w:qFormat/>
    <w:pPr>
      <w:jc w:val="left"/>
    </w:pPr>
  </w:style>
  <w:style w:type="paragraph" w:styleId="729">
    <w:name w:val="Body Text"/>
    <w:basedOn w:val="713"/>
    <w:uiPriority w:val="0"/>
    <w:unhideWhenUsed/>
    <w:qFormat/>
    <w:pPr>
      <w:spacing w:after="120"/>
    </w:pPr>
    <w:rPr>
      <w:rFonts w:ascii="Calibri" w:hAnsi="Calibri"/>
      <w:szCs w:val="22"/>
    </w:rPr>
  </w:style>
  <w:style w:type="paragraph" w:styleId="730">
    <w:name w:val="Body Text Indent"/>
    <w:basedOn w:val="713"/>
    <w:uiPriority w:val="0"/>
    <w:qFormat/>
    <w:pPr>
      <w:ind w:firstLine="420"/>
      <w:spacing w:line="360" w:lineRule="auto"/>
    </w:pPr>
    <w:rPr>
      <w:rFonts w:ascii="宋体"/>
      <w:sz w:val="24"/>
      <w:szCs w:val="20"/>
    </w:rPr>
  </w:style>
  <w:style w:type="paragraph" w:styleId="731">
    <w:name w:val="toc 5"/>
    <w:basedOn w:val="713"/>
    <w:next w:val="713"/>
    <w:uiPriority w:val="39"/>
    <w:unhideWhenUsed/>
    <w:qFormat/>
    <w:pPr>
      <w:ind w:left="1134" w:right="0" w:firstLine="0"/>
      <w:spacing w:after="57"/>
    </w:pPr>
  </w:style>
  <w:style w:type="paragraph" w:styleId="732">
    <w:name w:val="toc 3"/>
    <w:basedOn w:val="713"/>
    <w:next w:val="713"/>
    <w:uiPriority w:val="39"/>
    <w:unhideWhenUsed/>
    <w:qFormat/>
    <w:pPr>
      <w:ind w:left="567" w:right="0" w:firstLine="0"/>
      <w:spacing w:after="57"/>
    </w:pPr>
  </w:style>
  <w:style w:type="paragraph" w:styleId="733">
    <w:name w:val="Plain Text"/>
    <w:basedOn w:val="713"/>
    <w:uiPriority w:val="0"/>
    <w:unhideWhenUsed/>
    <w:qFormat/>
    <w:rPr>
      <w:rFonts w:ascii="宋体" w:hAnsi="Courier New" w:cs="Courier New"/>
      <w:szCs w:val="21"/>
    </w:rPr>
  </w:style>
  <w:style w:type="paragraph" w:styleId="734">
    <w:name w:val="toc 8"/>
    <w:basedOn w:val="713"/>
    <w:next w:val="713"/>
    <w:uiPriority w:val="39"/>
    <w:unhideWhenUsed/>
    <w:qFormat/>
    <w:pPr>
      <w:ind w:left="1984" w:right="0" w:firstLine="0"/>
      <w:spacing w:after="57"/>
    </w:pPr>
  </w:style>
  <w:style w:type="paragraph" w:styleId="735">
    <w:name w:val="endnote text"/>
    <w:basedOn w:val="713"/>
    <w:link w:val="900"/>
    <w:uiPriority w:val="99"/>
    <w:semiHidden/>
    <w:unhideWhenUsed/>
    <w:qFormat/>
    <w:pPr>
      <w:spacing w:after="0" w:line="240" w:lineRule="auto"/>
    </w:pPr>
    <w:rPr>
      <w:sz w:val="20"/>
    </w:rPr>
  </w:style>
  <w:style w:type="paragraph" w:styleId="736">
    <w:name w:val="Footer"/>
    <w:basedOn w:val="713"/>
    <w:link w:val="903"/>
    <w:uiPriority w:val="0"/>
    <w:qFormat/>
    <w:pPr>
      <w:jc w:val="left"/>
      <w:tabs>
        <w:tab w:val="center" w:pos="4153" w:leader="none"/>
        <w:tab w:val="right" w:pos="8306" w:leader="none"/>
      </w:tabs>
    </w:pPr>
    <w:rPr>
      <w:sz w:val="18"/>
      <w:szCs w:val="18"/>
    </w:rPr>
  </w:style>
  <w:style w:type="paragraph" w:styleId="737">
    <w:name w:val="Header"/>
    <w:basedOn w:val="713"/>
    <w:link w:val="902"/>
    <w:uiPriority w:val="0"/>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13"/>
    <w:next w:val="713"/>
    <w:uiPriority w:val="39"/>
    <w:unhideWhenUsed/>
    <w:qFormat/>
    <w:pPr>
      <w:ind w:left="0" w:right="0" w:firstLine="0"/>
      <w:spacing w:after="57"/>
    </w:pPr>
  </w:style>
  <w:style w:type="paragraph" w:styleId="739">
    <w:name w:val="toc 4"/>
    <w:basedOn w:val="713"/>
    <w:next w:val="713"/>
    <w:uiPriority w:val="39"/>
    <w:unhideWhenUsed/>
    <w:qFormat/>
    <w:pPr>
      <w:ind w:left="850" w:right="0" w:firstLine="0"/>
      <w:spacing w:after="57"/>
    </w:pPr>
  </w:style>
  <w:style w:type="paragraph" w:styleId="740">
    <w:name w:val="Subtitle"/>
    <w:basedOn w:val="713"/>
    <w:next w:val="713"/>
    <w:link w:val="766"/>
    <w:uiPriority w:val="11"/>
    <w:qFormat/>
    <w:pPr>
      <w:spacing w:before="200" w:after="200"/>
    </w:pPr>
    <w:rPr>
      <w:sz w:val="24"/>
      <w:szCs w:val="24"/>
    </w:rPr>
  </w:style>
  <w:style w:type="paragraph" w:styleId="741">
    <w:name w:val="footnote text"/>
    <w:basedOn w:val="713"/>
    <w:link w:val="899"/>
    <w:uiPriority w:val="99"/>
    <w:semiHidden/>
    <w:unhideWhenUsed/>
    <w:qFormat/>
    <w:pPr>
      <w:spacing w:after="40" w:line="240" w:lineRule="auto"/>
    </w:pPr>
    <w:rPr>
      <w:sz w:val="18"/>
    </w:rPr>
  </w:style>
  <w:style w:type="paragraph" w:styleId="742">
    <w:name w:val="toc 6"/>
    <w:basedOn w:val="713"/>
    <w:next w:val="713"/>
    <w:uiPriority w:val="39"/>
    <w:unhideWhenUsed/>
    <w:qFormat/>
    <w:pPr>
      <w:ind w:left="1417" w:right="0" w:firstLine="0"/>
      <w:spacing w:after="57"/>
    </w:pPr>
  </w:style>
  <w:style w:type="paragraph" w:styleId="743">
    <w:name w:val="table of figures"/>
    <w:basedOn w:val="713"/>
    <w:next w:val="713"/>
    <w:uiPriority w:val="99"/>
    <w:unhideWhenUsed/>
    <w:qFormat/>
    <w:pPr>
      <w:spacing w:after="0" w:afterAutospacing="0"/>
    </w:pPr>
  </w:style>
  <w:style w:type="paragraph" w:styleId="744">
    <w:name w:val="toc 2"/>
    <w:basedOn w:val="713"/>
    <w:next w:val="713"/>
    <w:uiPriority w:val="39"/>
    <w:unhideWhenUsed/>
    <w:qFormat/>
    <w:pPr>
      <w:ind w:left="283" w:right="0" w:firstLine="0"/>
      <w:spacing w:after="57"/>
    </w:pPr>
  </w:style>
  <w:style w:type="paragraph" w:styleId="745">
    <w:name w:val="toc 9"/>
    <w:basedOn w:val="713"/>
    <w:next w:val="713"/>
    <w:uiPriority w:val="39"/>
    <w:unhideWhenUsed/>
    <w:qFormat/>
    <w:pPr>
      <w:ind w:left="2268" w:right="0" w:firstLine="0"/>
      <w:spacing w:after="57"/>
    </w:pPr>
  </w:style>
  <w:style w:type="paragraph" w:styleId="746">
    <w:name w:val="Normal (Web)"/>
    <w:basedOn w:val="713"/>
    <w:uiPriority w:val="0"/>
    <w:qFormat/>
    <w:pPr>
      <w:jc w:val="left"/>
      <w:spacing w:beforeAutospacing="1" w:afterAutospacing="1"/>
    </w:pPr>
    <w:rPr>
      <w:rFonts w:cs="Times New Roman"/>
      <w:sz w:val="24"/>
    </w:rPr>
  </w:style>
  <w:style w:type="paragraph" w:styleId="747">
    <w:name w:val="Title"/>
    <w:basedOn w:val="713"/>
    <w:next w:val="713"/>
    <w:link w:val="765"/>
    <w:uiPriority w:val="10"/>
    <w:qFormat/>
    <w:pPr>
      <w:contextualSpacing/>
      <w:spacing w:before="300" w:after="200"/>
    </w:pPr>
    <w:rPr>
      <w:sz w:val="48"/>
      <w:szCs w:val="48"/>
    </w:rPr>
  </w:style>
  <w:style w:type="paragraph" w:styleId="748">
    <w:name w:val="Body Text First Indent"/>
    <w:basedOn w:val="729"/>
    <w:uiPriority w:val="99"/>
    <w:unhideWhenUsed/>
    <w:qFormat/>
    <w:pPr>
      <w:ind w:firstLine="420"/>
    </w:pPr>
  </w:style>
  <w:style w:type="paragraph" w:styleId="749">
    <w:name w:val="Body Text First Indent 2"/>
    <w:basedOn w:val="730"/>
    <w:uiPriority w:val="0"/>
    <w:qFormat/>
    <w:pPr>
      <w:ind w:left="420" w:firstLine="420"/>
      <w:spacing w:after="120" w:line="240" w:lineRule="auto"/>
    </w:pPr>
    <w:rPr>
      <w:sz w:val="21"/>
    </w:rPr>
  </w:style>
  <w:style w:type="table" w:styleId="750">
    <w:name w:val="Table Grid"/>
    <w:basedOn w:val="7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3"/>
    <w:uiPriority w:val="22"/>
    <w:qFormat/>
    <w:rPr>
      <w:b/>
    </w:rPr>
  </w:style>
  <w:style w:type="character" w:styleId="752">
    <w:name w:val="endnote reference"/>
    <w:basedOn w:val="723"/>
    <w:uiPriority w:val="99"/>
    <w:semiHidden/>
    <w:unhideWhenUsed/>
    <w:qFormat/>
    <w:rPr>
      <w:vertAlign w:val="superscript"/>
    </w:rPr>
  </w:style>
  <w:style w:type="character" w:styleId="753">
    <w:name w:val="Hyperlink"/>
    <w:uiPriority w:val="99"/>
    <w:unhideWhenUsed/>
    <w:qFormat/>
    <w:rPr>
      <w:color w:val="0563c1" w:themeColor="hyperlink"/>
      <w:u w:val="single"/>
      <w14:textFill>
        <w14:solidFill>
          <w14:schemeClr w14:val="hlink"/>
        </w14:solidFill>
      </w14:textFill>
    </w:rPr>
  </w:style>
  <w:style w:type="character" w:styleId="754">
    <w:name w:val="footnote reference"/>
    <w:basedOn w:val="723"/>
    <w:uiPriority w:val="99"/>
    <w:unhideWhenUsed/>
    <w:qFormat/>
    <w:rPr>
      <w:vertAlign w:val="superscript"/>
    </w:rPr>
  </w:style>
  <w:style w:type="character" w:styleId="755" w:customStyle="1">
    <w:name w:val="Heading 1 Char"/>
    <w:basedOn w:val="723"/>
    <w:uiPriority w:val="9"/>
    <w:qFormat/>
    <w:rPr>
      <w:rFonts w:ascii="Arial" w:hAnsi="Arial" w:eastAsia="Arial" w:cs="Arial"/>
      <w:sz w:val="40"/>
      <w:szCs w:val="40"/>
    </w:rPr>
  </w:style>
  <w:style w:type="character" w:styleId="756" w:customStyle="1">
    <w:name w:val="Heading 2 Char"/>
    <w:basedOn w:val="723"/>
    <w:uiPriority w:val="9"/>
    <w:qFormat/>
    <w:rPr>
      <w:rFonts w:ascii="Arial" w:hAnsi="Arial" w:eastAsia="Arial" w:cs="Arial"/>
      <w:sz w:val="34"/>
    </w:rPr>
  </w:style>
  <w:style w:type="character" w:styleId="757" w:customStyle="1">
    <w:name w:val="Heading 3 Char"/>
    <w:basedOn w:val="723"/>
    <w:uiPriority w:val="9"/>
    <w:qFormat/>
    <w:rPr>
      <w:rFonts w:ascii="Arial" w:hAnsi="Arial" w:eastAsia="Arial" w:cs="Arial"/>
      <w:sz w:val="30"/>
      <w:szCs w:val="30"/>
    </w:rPr>
  </w:style>
  <w:style w:type="character" w:styleId="758" w:customStyle="1">
    <w:name w:val="Heading 4 Char"/>
    <w:basedOn w:val="723"/>
    <w:uiPriority w:val="9"/>
    <w:qFormat/>
    <w:rPr>
      <w:rFonts w:ascii="Arial" w:hAnsi="Arial" w:eastAsia="Arial" w:cs="Arial"/>
      <w:b/>
      <w:bCs/>
      <w:sz w:val="26"/>
      <w:szCs w:val="26"/>
    </w:rPr>
  </w:style>
  <w:style w:type="character" w:styleId="759" w:customStyle="1">
    <w:name w:val="Heading 5 Char"/>
    <w:basedOn w:val="723"/>
    <w:uiPriority w:val="9"/>
    <w:qFormat/>
    <w:rPr>
      <w:rFonts w:ascii="Arial" w:hAnsi="Arial" w:eastAsia="Arial" w:cs="Arial"/>
      <w:b/>
      <w:bCs/>
      <w:sz w:val="24"/>
      <w:szCs w:val="24"/>
    </w:rPr>
  </w:style>
  <w:style w:type="character" w:styleId="760" w:customStyle="1">
    <w:name w:val="Heading 6 Char"/>
    <w:basedOn w:val="723"/>
    <w:link w:val="719"/>
    <w:uiPriority w:val="9"/>
    <w:qFormat/>
    <w:rPr>
      <w:rFonts w:ascii="Arial" w:hAnsi="Arial" w:eastAsia="Arial" w:cs="Arial"/>
      <w:b/>
      <w:bCs/>
      <w:sz w:val="22"/>
      <w:szCs w:val="22"/>
    </w:rPr>
  </w:style>
  <w:style w:type="character" w:styleId="761" w:customStyle="1">
    <w:name w:val="Heading 7 Char"/>
    <w:basedOn w:val="723"/>
    <w:link w:val="720"/>
    <w:uiPriority w:val="9"/>
    <w:qFormat/>
    <w:rPr>
      <w:rFonts w:ascii="Arial" w:hAnsi="Arial" w:eastAsia="Arial" w:cs="Arial"/>
      <w:b/>
      <w:bCs/>
      <w:i/>
      <w:iCs/>
      <w:sz w:val="22"/>
      <w:szCs w:val="22"/>
    </w:rPr>
  </w:style>
  <w:style w:type="character" w:styleId="762" w:customStyle="1">
    <w:name w:val="Heading 8 Char"/>
    <w:basedOn w:val="723"/>
    <w:link w:val="721"/>
    <w:uiPriority w:val="9"/>
    <w:qFormat/>
    <w:rPr>
      <w:rFonts w:ascii="Arial" w:hAnsi="Arial" w:eastAsia="Arial" w:cs="Arial"/>
      <w:i/>
      <w:iCs/>
      <w:sz w:val="22"/>
      <w:szCs w:val="22"/>
    </w:rPr>
  </w:style>
  <w:style w:type="character" w:styleId="763" w:customStyle="1">
    <w:name w:val="Heading 9 Char"/>
    <w:basedOn w:val="723"/>
    <w:link w:val="722"/>
    <w:uiPriority w:val="9"/>
    <w:qFormat/>
    <w:rPr>
      <w:rFonts w:ascii="Arial" w:hAnsi="Arial" w:eastAsia="Arial" w:cs="Arial"/>
      <w:i/>
      <w:iCs/>
      <w:sz w:val="21"/>
      <w:szCs w:val="21"/>
    </w:rPr>
  </w:style>
  <w:style w:type="paragraph" w:styleId="764">
    <w:name w:val="No Spacing"/>
    <w:basedOn w:val="713"/>
    <w:next w:val="713"/>
    <w:uiPriority w:val="1"/>
    <w:qFormat/>
    <w:pPr>
      <w:spacing w:before="0" w:after="0" w:line="240" w:lineRule="auto"/>
    </w:pPr>
    <w:rPr>
      <w:rFonts w:hint="default" w:ascii="Times New Roman" w:hAnsi="Times New Roman" w:eastAsia="宋体" w:cs="Times New Roman"/>
    </w:rPr>
  </w:style>
  <w:style w:type="character" w:styleId="765" w:customStyle="1">
    <w:name w:val="Title Char"/>
    <w:basedOn w:val="723"/>
    <w:link w:val="747"/>
    <w:uiPriority w:val="10"/>
    <w:qFormat/>
    <w:rPr>
      <w:sz w:val="48"/>
      <w:szCs w:val="48"/>
    </w:rPr>
  </w:style>
  <w:style w:type="character" w:styleId="766" w:customStyle="1">
    <w:name w:val="Subtitle Char"/>
    <w:basedOn w:val="723"/>
    <w:link w:val="740"/>
    <w:uiPriority w:val="11"/>
    <w:qFormat/>
    <w:rPr>
      <w:sz w:val="24"/>
      <w:szCs w:val="24"/>
    </w:rPr>
  </w:style>
  <w:style w:type="paragraph" w:styleId="767">
    <w:name w:val="Quote"/>
    <w:basedOn w:val="713"/>
    <w:next w:val="713"/>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3"/>
    <w:next w:val="713"/>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basedOn w:val="723"/>
    <w:uiPriority w:val="99"/>
    <w:qFormat/>
  </w:style>
  <w:style w:type="character" w:styleId="772" w:customStyle="1">
    <w:name w:val="Footer Char"/>
    <w:basedOn w:val="723"/>
    <w:uiPriority w:val="99"/>
    <w:qFormat/>
  </w:style>
  <w:style w:type="character" w:styleId="773" w:customStyle="1">
    <w:name w:val="Caption Char"/>
    <w:uiPriority w:val="99"/>
    <w:qFormat/>
  </w:style>
  <w:style w:type="table" w:styleId="774" w:customStyle="1">
    <w:name w:val="Table Grid Light"/>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7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7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7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7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7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7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7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7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7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7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7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7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4"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7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7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7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7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7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7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7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3" w:customStyle="1">
    <w:name w:val="Grid Table 4 - Accent 2"/>
    <w:basedOn w:val="7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4" w:customStyle="1">
    <w:name w:val="Grid Table 4 - Accent 3"/>
    <w:basedOn w:val="7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5" w:customStyle="1">
    <w:name w:val="Grid Table 4 - Accent 4"/>
    <w:basedOn w:val="7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6" w:customStyle="1">
    <w:name w:val="Grid Table 4 - Accent 5"/>
    <w:basedOn w:val="7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7" w:customStyle="1">
    <w:name w:val="Grid Table 4 - Accent 6"/>
    <w:basedOn w:val="7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8"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0" w:customStyle="1">
    <w:name w:val="Grid Table 5 Dark - Accent 2"/>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1" w:customStyle="1">
    <w:name w:val="Grid Table 5 Dark - Accent 3"/>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2" w:customStyle="1">
    <w:name w:val="Grid Table 5 Dark- Accent 4"/>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3" w:customStyle="1">
    <w:name w:val="Grid Table 5 Dark - Accent 5"/>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4" w:customStyle="1">
    <w:name w:val="Grid Table 5 Dark - Accent 6"/>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5"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basedOn w:val="7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7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7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9" w:customStyle="1">
    <w:name w:val="Grid Table 6 Colorful - Accent 4"/>
    <w:basedOn w:val="7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7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6 Colorful - Accent 6"/>
    <w:basedOn w:val="7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7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7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7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7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7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7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7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7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8" w:customStyle="1">
    <w:name w:val="List Table 2 - Accent 2"/>
    <w:basedOn w:val="7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9" w:customStyle="1">
    <w:name w:val="List Table 2 - Accent 3"/>
    <w:basedOn w:val="7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0" w:customStyle="1">
    <w:name w:val="List Table 2 - Accent 4"/>
    <w:basedOn w:val="7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1" w:customStyle="1">
    <w:name w:val="List Table 2 - Accent 5"/>
    <w:basedOn w:val="7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2" w:customStyle="1">
    <w:name w:val="List Table 2 - Accent 6"/>
    <w:basedOn w:val="7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3"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7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3 - Accent 2"/>
    <w:basedOn w:val="7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0"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7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4 - Accent 2"/>
    <w:basedOn w:val="7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3" w:customStyle="1">
    <w:name w:val="List Table 4 - Accent 3"/>
    <w:basedOn w:val="7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4" w:customStyle="1">
    <w:name w:val="List Table 4 - Accent 4"/>
    <w:basedOn w:val="7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5" w:customStyle="1">
    <w:name w:val="List Table 4 - Accent 5"/>
    <w:basedOn w:val="7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6" w:customStyle="1">
    <w:name w:val="List Table 4 - Accent 6"/>
    <w:basedOn w:val="7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7"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basedOn w:val="7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basedOn w:val="7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basedOn w:val="7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basedOn w:val="7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basedOn w:val="7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basedOn w:val="7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basedOn w:val="7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6" w:customStyle="1">
    <w:name w:val="List Table 6 Colorful - Accent 2"/>
    <w:basedOn w:val="7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7" w:customStyle="1">
    <w:name w:val="List Table 6 Colorful - Accent 3"/>
    <w:basedOn w:val="7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8" w:customStyle="1">
    <w:name w:val="List Table 6 Colorful - Accent 4"/>
    <w:basedOn w:val="7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9" w:customStyle="1">
    <w:name w:val="List Table 6 Colorful - Accent 5"/>
    <w:basedOn w:val="7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0" w:customStyle="1">
    <w:name w:val="List Table 6 Colorful - Accent 6"/>
    <w:basedOn w:val="7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1"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7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7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7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7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7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7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Lined - Accent 2"/>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Lined - Accent 3"/>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Lined - Accent 4"/>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Lined - Accent 5"/>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Lined - Accent 6"/>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amp; Lined - Accent"/>
    <w:basedOn w:val="7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7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Bordered &amp; Lined - Accent 2"/>
    <w:basedOn w:val="7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Bordered &amp; Lined - Accent 3"/>
    <w:basedOn w:val="7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Bordered &amp; Lined - Accent 4"/>
    <w:basedOn w:val="7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Bordered &amp; Lined - Accent 5"/>
    <w:basedOn w:val="7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Bordered &amp; Lined - Accent 6"/>
    <w:basedOn w:val="7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w:basedOn w:val="7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7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4" w:customStyle="1">
    <w:name w:val="Bordered - Accent 2"/>
    <w:basedOn w:val="7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5" w:customStyle="1">
    <w:name w:val="Bordered - Accent 3"/>
    <w:basedOn w:val="7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6" w:customStyle="1">
    <w:name w:val="Bordered - Accent 4"/>
    <w:basedOn w:val="7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7" w:customStyle="1">
    <w:name w:val="Bordered - Accent 5"/>
    <w:basedOn w:val="7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8" w:customStyle="1">
    <w:name w:val="Bordered - Accent 6"/>
    <w:basedOn w:val="7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9" w:customStyle="1">
    <w:name w:val="Footnote Text Char"/>
    <w:link w:val="741"/>
    <w:uiPriority w:val="99"/>
    <w:qFormat/>
    <w:rPr>
      <w:sz w:val="18"/>
    </w:rPr>
  </w:style>
  <w:style w:type="character" w:styleId="900" w:customStyle="1">
    <w:name w:val="Endnote Text Char"/>
    <w:link w:val="735"/>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character" w:styleId="902" w:customStyle="1">
    <w:name w:val="页眉 Char"/>
    <w:basedOn w:val="723"/>
    <w:link w:val="737"/>
    <w:uiPriority w:val="0"/>
    <w:qFormat/>
    <w:rPr>
      <w:rFonts w:asciiTheme="minorHAnsi" w:hAnsiTheme="minorHAnsi" w:eastAsiaTheme="minorEastAsia" w:cstheme="minorBidi"/>
      <w:sz w:val="18"/>
      <w:szCs w:val="18"/>
    </w:rPr>
  </w:style>
  <w:style w:type="character" w:styleId="903" w:customStyle="1">
    <w:name w:val="页脚 Char"/>
    <w:basedOn w:val="723"/>
    <w:link w:val="736"/>
    <w:uiPriority w:val="0"/>
    <w:qFormat/>
    <w:rPr>
      <w:rFonts w:asciiTheme="minorHAnsi" w:hAnsiTheme="minorHAnsi" w:eastAsiaTheme="minorEastAsia" w:cstheme="minorBidi"/>
      <w:sz w:val="18"/>
      <w:szCs w:val="18"/>
    </w:rPr>
  </w:style>
  <w:style w:type="paragraph" w:styleId="9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5" w:customStyle="1">
    <w:name w:val="页脚1"/>
    <w:basedOn w:val="713"/>
    <w:uiPriority w:val="99"/>
    <w:unhideWhenUsed/>
    <w:qFormat/>
    <w:pPr>
      <w:jc w:val="left"/>
      <w:tabs>
        <w:tab w:val="center" w:pos="4153" w:leader="none"/>
        <w:tab w:val="right" w:pos="8306" w:leader="none"/>
      </w:tabs>
    </w:pPr>
    <w:rPr>
      <w:sz w:val="18"/>
      <w:szCs w:val="18"/>
    </w:rPr>
  </w:style>
  <w:style w:type="paragraph" w:styleId="906" w:customStyle="1">
    <w:name w:val="普通正文"/>
    <w:basedOn w:val="713"/>
    <w:uiPriority w:val="0"/>
    <w:qFormat/>
    <w:pPr>
      <w:ind w:firstLine="480"/>
      <w:jc w:val="left"/>
      <w:spacing w:before="120" w:after="120" w:line="360" w:lineRule="auto"/>
    </w:pPr>
    <w:rPr>
      <w:rFonts w:ascii="Arial" w:hAnsi="Arial" w:eastAsia="等线" w:cs="Arial"/>
      <w:sz w:val="24"/>
      <w:szCs w:val="24"/>
    </w:rPr>
  </w:style>
  <w:style w:type="paragraph" w:styleId="907" w:customStyle="1">
    <w:name w:val="标题 31"/>
    <w:basedOn w:val="713"/>
    <w:next w:val="908"/>
    <w:uiPriority w:val="0"/>
    <w:qFormat/>
    <w:pPr>
      <w:keepLines/>
      <w:keepNext/>
      <w:spacing w:before="260" w:after="260" w:line="416" w:lineRule="auto"/>
      <w:outlineLvl w:val="2"/>
    </w:pPr>
    <w:rPr>
      <w:b/>
      <w:bCs/>
      <w:sz w:val="32"/>
      <w:szCs w:val="32"/>
    </w:rPr>
  </w:style>
  <w:style w:type="paragraph" w:styleId="908" w:customStyle="1">
    <w:name w:val="正文缩进1"/>
    <w:basedOn w:val="713"/>
    <w:uiPriority w:val="0"/>
    <w:qFormat/>
    <w:pPr>
      <w:ind w:firstLine="420"/>
    </w:pPr>
  </w:style>
  <w:style w:type="paragraph" w:styleId="909" w:customStyle="1">
    <w:name w:val="标题 41"/>
    <w:basedOn w:val="713"/>
    <w:next w:val="908"/>
    <w:uiPriority w:val="9"/>
    <w:qFormat/>
    <w:pPr>
      <w:keepLines/>
      <w:keepNext/>
      <w:spacing w:before="280" w:after="290" w:line="376" w:lineRule="auto"/>
      <w:outlineLvl w:val="3"/>
    </w:pPr>
    <w:rPr>
      <w:rFonts w:ascii="Arial" w:hAnsi="Arial" w:eastAsia="黑体"/>
      <w:b/>
      <w:bCs/>
      <w:sz w:val="28"/>
      <w:szCs w:val="28"/>
    </w:rPr>
  </w:style>
  <w:style w:type="paragraph" w:styleId="910" w:customStyle="1">
    <w:name w:val="正文文本1"/>
    <w:basedOn w:val="713"/>
    <w:uiPriority w:val="99"/>
    <w:qFormat/>
    <w:rPr>
      <w:rFonts w:ascii="楷体_GB2312" w:hAnsi="Arial" w:eastAsia="楷体_GB2312"/>
      <w:sz w:val="28"/>
      <w:szCs w:val="28"/>
    </w:rPr>
  </w:style>
  <w:style w:type="paragraph" w:styleId="911" w:customStyle="1">
    <w:name w:val="纯文本1"/>
    <w:basedOn w:val="713"/>
    <w:uiPriority w:val="0"/>
    <w:qFormat/>
    <w:rPr>
      <w:rFonts w:ascii="宋体" w:hAnsi="Courier New"/>
    </w:rPr>
  </w:style>
  <w:style w:type="paragraph" w:styleId="912">
    <w:name w:val="List Paragraph"/>
    <w:basedOn w:val="713"/>
    <w:uiPriority w:val="34"/>
    <w:qFormat/>
    <w:pPr>
      <w:ind w:firstLine="420"/>
    </w:pPr>
    <w:rPr>
      <w:rFonts w:eastAsia="宋体"/>
    </w:rPr>
  </w:style>
  <w:style w:type="paragraph" w:styleId="913" w:customStyle="1">
    <w:name w:val="!正文"/>
    <w:basedOn w:val="713"/>
    <w:uiPriority w:val="0"/>
    <w:qFormat/>
    <w:pPr>
      <w:widowControl/>
    </w:pPr>
    <w:rPr>
      <w:szCs w:val="28"/>
    </w:rPr>
  </w:style>
  <w:style w:type="paragraph" w:styleId="914" w:customStyle="1">
    <w:name w:val="KX正文"/>
    <w:basedOn w:val="713"/>
    <w:uiPriority w:val="0"/>
    <w:qFormat/>
    <w:pPr>
      <w:jc w:val="left"/>
      <w:spacing w:line="440" w:lineRule="exact"/>
    </w:pPr>
    <w:rPr>
      <w:rFonts w:ascii="仿宋_GB2312" w:hAnsi="Calibri" w:eastAsia="仿宋_GB2312" w:cs="Times New Roman"/>
      <w:sz w:val="28"/>
      <w:szCs w:val="20"/>
    </w:rPr>
  </w:style>
  <w:style w:type="paragraph" w:styleId="915" w:customStyle="1">
    <w:name w:val="msolistparagraph"/>
    <w:basedOn w:val="713"/>
    <w:uiPriority w:val="0"/>
    <w:qFormat/>
    <w:pPr>
      <w:ind w:firstLine="420"/>
    </w:pPr>
    <w:rPr>
      <w:rFonts w:hint="eastAsia" w:ascii="等线" w:hAnsi="等线" w:eastAsia="宋体" w:cs="Times New Roman"/>
    </w:rPr>
  </w:style>
  <w:style w:type="character" w:styleId="916" w:customStyle="1">
    <w:name w:val="font51"/>
    <w:basedOn w:val="723"/>
    <w:uiPriority w:val="0"/>
    <w:qFormat/>
    <w:rPr>
      <w:rFonts w:hint="eastAsia" w:ascii="微软雅黑" w:hAnsi="微软雅黑" w:eastAsia="微软雅黑" w:cs="微软雅黑"/>
      <w:color w:val="000000"/>
      <w:sz w:val="18"/>
      <w:szCs w:val="18"/>
      <w:u w:val="none"/>
    </w:rPr>
  </w:style>
  <w:style w:type="character" w:styleId="917" w:customStyle="1">
    <w:name w:val="font61"/>
    <w:basedOn w:val="723"/>
    <w:uiPriority w:val="0"/>
    <w:qFormat/>
    <w:rPr>
      <w:rFonts w:hint="eastAsia" w:ascii="微软雅黑" w:hAnsi="微软雅黑" w:eastAsia="微软雅黑" w:cs="微软雅黑"/>
      <w:color w:val="ff0000"/>
      <w:sz w:val="18"/>
      <w:szCs w:val="18"/>
      <w:u w:val="none"/>
    </w:rPr>
  </w:style>
  <w:style w:type="paragraph" w:styleId="918" w:customStyle="1">
    <w:name w:val="Table Paragraph"/>
    <w:basedOn w:val="713"/>
    <w:uiPriority w:val="1"/>
    <w:qFormat/>
    <w:pPr>
      <w:jc w:val="left"/>
    </w:pPr>
    <w:rPr>
      <w:rFonts w:ascii="等线" w:hAnsi="等线" w:eastAsia="等线"/>
      <w:sz w:val="22"/>
      <w:szCs w:val="22"/>
      <w:lang w:eastAsia="en-US"/>
    </w:rPr>
  </w:style>
  <w:style w:type="paragraph" w:styleId="919" w:customStyle="1">
    <w:name w:val="正文文本首行缩进 2"/>
    <w:basedOn w:val="920"/>
    <w:next w:val="908"/>
    <w:uiPriority w:val="0"/>
    <w:qFormat/>
    <w:pPr>
      <w:ind w:firstLine="420"/>
      <w:spacing w:line="360" w:lineRule="auto"/>
    </w:pPr>
    <w:rPr>
      <w:rFonts w:ascii="宋体" w:hAnsi="宋体" w:eastAsia="宋体"/>
      <w:sz w:val="21"/>
      <w:szCs w:val="20"/>
    </w:rPr>
  </w:style>
  <w:style w:type="paragraph" w:styleId="920" w:customStyle="1">
    <w:name w:val="正文文本缩进1"/>
    <w:basedOn w:val="713"/>
    <w:next w:val="921"/>
    <w:uiPriority w:val="99"/>
    <w:qFormat/>
    <w:pPr>
      <w:ind w:firstLine="645"/>
    </w:pPr>
    <w:rPr>
      <w:rFonts w:ascii="楷体_GB2312" w:eastAsia="楷体_GB2312"/>
      <w:sz w:val="32"/>
      <w:szCs w:val="32"/>
    </w:rPr>
  </w:style>
  <w:style w:type="paragraph" w:styleId="921" w:customStyle="1">
    <w:name w:val="寄信人地址1"/>
    <w:basedOn w:val="713"/>
    <w:uiPriority w:val="0"/>
    <w:qFormat/>
    <w:rPr>
      <w:rFonts w:ascii="Arial" w:hAnsi="Arial"/>
    </w:rPr>
  </w:style>
  <w:style w:type="paragraph" w:styleId="922" w:customStyle="1">
    <w:name w:val="标题 21"/>
    <w:basedOn w:val="713"/>
    <w:next w:val="908"/>
    <w:uiPriority w:val="9"/>
    <w:qFormat/>
    <w:pPr>
      <w:jc w:val="center"/>
      <w:keepLines/>
      <w:keepNext/>
      <w:spacing w:before="260" w:after="260" w:line="416" w:lineRule="auto"/>
      <w:outlineLvl w:val="1"/>
    </w:pPr>
    <w:rPr>
      <w:rFonts w:ascii="Arial" w:hAnsi="Arial" w:eastAsia="幼圆"/>
      <w:b/>
      <w:bCs/>
      <w:sz w:val="44"/>
      <w:szCs w:val="44"/>
    </w:rPr>
  </w:style>
  <w:style w:type="paragraph" w:styleId="923" w:customStyle="1">
    <w:name w:val="WPSOffice手动目录 1"/>
    <w:uiPriority w:val="0"/>
    <w:qFormat/>
    <w:rPr>
      <w:rFonts w:hint="default" w:ascii="Times New Roman" w:hAnsi="Times New Roman" w:eastAsia="宋体" w:cs="Times New Roman"/>
      <w:sz w:val="20"/>
      <w:szCs w:val="20"/>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单钰锋</cp:lastModifiedBy>
  <cp:revision>124</cp:revision>
  <dcterms:created xsi:type="dcterms:W3CDTF">2014-10-29T12:08:00Z</dcterms:created>
  <dcterms:modified xsi:type="dcterms:W3CDTF">2025-12-03T10:35:45Z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2A1138582C8D4800BE075B193EDDB080_13</vt:lpwstr>
  </property>
  <property fmtid="{D5CDD505-2E9C-101B-9397-08002B2CF9AE}" pid="4" name="KSOTemplateDocerSaveRecord">
    <vt:lpwstr>eyJoZGlkIjoiYTNhMWQ0MzgyOWYwNjNkYTQ5YjlkMzhmZmFhNTYzNTQiLCJ1c2VySWQiOiIxMjgwMDEwODMyIn0=</vt:lpwstr>
  </property>
</Properties>
</file>